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D44" w:rsidRPr="00CD4D44" w:rsidRDefault="00CD4D44" w:rsidP="00CD4D44">
      <w:pPr>
        <w:shd w:val="clear" w:color="auto" w:fill="FFFFFF"/>
        <w:spacing w:before="120" w:after="120" w:line="240" w:lineRule="atLeast"/>
        <w:outlineLvl w:val="0"/>
        <w:rPr>
          <w:rFonts w:eastAsia="Times New Roman" w:cs="Arial"/>
          <w:b/>
          <w:color w:val="282F3C"/>
          <w:spacing w:val="-4"/>
          <w:kern w:val="36"/>
          <w:sz w:val="44"/>
          <w:szCs w:val="44"/>
        </w:rPr>
      </w:pPr>
      <w:r w:rsidRPr="00CD4D44">
        <w:rPr>
          <w:rFonts w:eastAsia="Times New Roman" w:cs="Arial"/>
          <w:b/>
          <w:color w:val="282F3C"/>
          <w:spacing w:val="-4"/>
          <w:kern w:val="36"/>
          <w:sz w:val="44"/>
          <w:szCs w:val="44"/>
        </w:rPr>
        <w:fldChar w:fldCharType="begin"/>
      </w:r>
      <w:r w:rsidRPr="00CD4D44">
        <w:rPr>
          <w:rFonts w:eastAsia="Times New Roman" w:cs="Arial"/>
          <w:b/>
          <w:color w:val="282F3C"/>
          <w:spacing w:val="-4"/>
          <w:kern w:val="36"/>
          <w:sz w:val="44"/>
          <w:szCs w:val="44"/>
        </w:rPr>
        <w:instrText xml:space="preserve"> HYPERLINK "https://www.commbank.com.au/personal/travel/international-fees-charges.html" </w:instrText>
      </w:r>
      <w:r w:rsidRPr="00CD4D44">
        <w:rPr>
          <w:rFonts w:eastAsia="Times New Roman" w:cs="Arial"/>
          <w:b/>
          <w:color w:val="282F3C"/>
          <w:spacing w:val="-4"/>
          <w:kern w:val="36"/>
          <w:sz w:val="44"/>
          <w:szCs w:val="44"/>
        </w:rPr>
      </w:r>
      <w:r w:rsidRPr="00CD4D44">
        <w:rPr>
          <w:rFonts w:eastAsia="Times New Roman" w:cs="Arial"/>
          <w:b/>
          <w:color w:val="282F3C"/>
          <w:spacing w:val="-4"/>
          <w:kern w:val="36"/>
          <w:sz w:val="44"/>
          <w:szCs w:val="44"/>
        </w:rPr>
        <w:fldChar w:fldCharType="separate"/>
      </w:r>
      <w:r w:rsidRPr="00CD4D44">
        <w:rPr>
          <w:rStyle w:val="Hyperlink"/>
          <w:rFonts w:eastAsia="Times New Roman" w:cs="Arial"/>
          <w:b/>
          <w:spacing w:val="-4"/>
          <w:kern w:val="36"/>
          <w:sz w:val="44"/>
          <w:szCs w:val="44"/>
        </w:rPr>
        <w:t>CBA - International fees and charges</w:t>
      </w:r>
      <w:r w:rsidRPr="00CD4D44">
        <w:rPr>
          <w:rFonts w:eastAsia="Times New Roman" w:cs="Arial"/>
          <w:b/>
          <w:color w:val="282F3C"/>
          <w:spacing w:val="-4"/>
          <w:kern w:val="36"/>
          <w:sz w:val="44"/>
          <w:szCs w:val="44"/>
        </w:rPr>
        <w:fldChar w:fldCharType="end"/>
      </w:r>
    </w:p>
    <w:p w:rsidR="00CD4D44" w:rsidRPr="00CD4D44" w:rsidRDefault="00CD4D44" w:rsidP="00CD4D44">
      <w:pPr>
        <w:shd w:val="clear" w:color="auto" w:fill="FFFFFF"/>
        <w:spacing w:before="384" w:after="0" w:line="384" w:lineRule="atLeast"/>
        <w:rPr>
          <w:rFonts w:ascii="Helvetica" w:eastAsia="Times New Roman" w:hAnsi="Helvetica" w:cs="Helvetica"/>
          <w:color w:val="676C74"/>
          <w:spacing w:val="-4"/>
        </w:rPr>
      </w:pPr>
      <w:r w:rsidRPr="00CD4D44">
        <w:rPr>
          <w:rFonts w:ascii="Helvetica" w:eastAsia="Times New Roman" w:hAnsi="Helvetica" w:cs="Helvetica"/>
          <w:color w:val="676C74"/>
          <w:spacing w:val="-4"/>
        </w:rPr>
        <w:t>Travelling ov</w:t>
      </w:r>
      <w:bookmarkStart w:id="0" w:name="_GoBack"/>
      <w:bookmarkEnd w:id="0"/>
      <w:r w:rsidRPr="00CD4D44">
        <w:rPr>
          <w:rFonts w:ascii="Helvetica" w:eastAsia="Times New Roman" w:hAnsi="Helvetica" w:cs="Helvetica"/>
          <w:color w:val="676C74"/>
          <w:spacing w:val="-4"/>
        </w:rPr>
        <w:t>erseas? Prepare to experience all that travel has to offer by taking the right mix of payment options to suit your trip. Compare the fees and charges associated with each payment option and choose the option that best suits your needs - so you can spend more time enjoying your holiday and less time worrying about money.</w:t>
      </w:r>
      <w:r w:rsidRPr="00CD4D44">
        <w:rPr>
          <w:rFonts w:ascii="Helvetica" w:eastAsia="Times New Roman" w:hAnsi="Helvetica" w:cs="Helvetica"/>
          <w:color w:val="676C74"/>
          <w:spacing w:val="-4"/>
        </w:rPr>
        <w:br/>
      </w:r>
    </w:p>
    <w:tbl>
      <w:tblPr>
        <w:tblW w:w="13797" w:type="dxa"/>
        <w:tblCellMar>
          <w:top w:w="15" w:type="dxa"/>
          <w:left w:w="15" w:type="dxa"/>
          <w:bottom w:w="15" w:type="dxa"/>
          <w:right w:w="15" w:type="dxa"/>
        </w:tblCellMar>
        <w:tblLook w:val="04A0" w:firstRow="1" w:lastRow="0" w:firstColumn="1" w:lastColumn="0" w:noHBand="0" w:noVBand="1"/>
      </w:tblPr>
      <w:tblGrid>
        <w:gridCol w:w="2435"/>
        <w:gridCol w:w="4000"/>
        <w:gridCol w:w="3378"/>
        <w:gridCol w:w="3984"/>
      </w:tblGrid>
      <w:tr w:rsidR="00CD4D44" w:rsidRPr="00CD4D44" w:rsidTr="00CD4D44">
        <w:trPr>
          <w:tblHeader/>
        </w:trPr>
        <w:tc>
          <w:tcPr>
            <w:tcW w:w="0" w:type="auto"/>
            <w:shd w:val="clear" w:color="auto" w:fill="E6E6E7"/>
            <w:tcMar>
              <w:top w:w="300" w:type="dxa"/>
              <w:left w:w="150" w:type="dxa"/>
              <w:bottom w:w="300" w:type="dxa"/>
              <w:right w:w="150" w:type="dxa"/>
            </w:tcMar>
            <w:vAlign w:val="center"/>
            <w:hideMark/>
          </w:tcPr>
          <w:p w:rsidR="00CD4D44" w:rsidRPr="00CD4D44" w:rsidRDefault="00CD4D44" w:rsidP="00CD4D44">
            <w:pPr>
              <w:spacing w:after="0" w:line="240" w:lineRule="auto"/>
              <w:rPr>
                <w:rFonts w:ascii="Helvetica" w:eastAsia="Times New Roman" w:hAnsi="Helvetica" w:cs="Helvetica"/>
                <w:color w:val="676C74"/>
                <w:spacing w:val="-4"/>
                <w:sz w:val="23"/>
                <w:szCs w:val="23"/>
              </w:rPr>
            </w:pPr>
          </w:p>
        </w:tc>
        <w:tc>
          <w:tcPr>
            <w:tcW w:w="4000" w:type="dxa"/>
            <w:shd w:val="clear" w:color="auto" w:fill="E6E6E7"/>
            <w:tcMar>
              <w:top w:w="300" w:type="dxa"/>
              <w:left w:w="150" w:type="dxa"/>
              <w:bottom w:w="300"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b/>
                <w:bCs/>
                <w:color w:val="676C74"/>
                <w:sz w:val="22"/>
                <w:szCs w:val="22"/>
              </w:rPr>
              <w:t>Travel Money Card</w:t>
            </w:r>
          </w:p>
        </w:tc>
        <w:tc>
          <w:tcPr>
            <w:tcW w:w="0" w:type="auto"/>
            <w:shd w:val="clear" w:color="auto" w:fill="E6E6E7"/>
            <w:tcMar>
              <w:top w:w="300" w:type="dxa"/>
              <w:left w:w="150" w:type="dxa"/>
              <w:bottom w:w="300"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b/>
                <w:bCs/>
                <w:color w:val="676C74"/>
                <w:sz w:val="22"/>
                <w:szCs w:val="22"/>
              </w:rPr>
              <w:t>Debit Mastercard</w:t>
            </w:r>
          </w:p>
        </w:tc>
        <w:tc>
          <w:tcPr>
            <w:tcW w:w="0" w:type="auto"/>
            <w:shd w:val="clear" w:color="auto" w:fill="E6E6E7"/>
            <w:tcMar>
              <w:top w:w="300" w:type="dxa"/>
              <w:left w:w="150" w:type="dxa"/>
              <w:bottom w:w="300"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b/>
                <w:bCs/>
                <w:color w:val="676C74"/>
                <w:sz w:val="22"/>
                <w:szCs w:val="22"/>
              </w:rPr>
              <w:t>Credit Card</w:t>
            </w:r>
          </w:p>
        </w:tc>
      </w:tr>
      <w:tr w:rsidR="00CD4D44" w:rsidRPr="00CD4D44" w:rsidTr="00CD4D44">
        <w:tc>
          <w:tcPr>
            <w:tcW w:w="0" w:type="auto"/>
            <w:shd w:val="clear" w:color="auto" w:fill="EEEEEE"/>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Times New Roman" w:eastAsia="Times New Roman" w:hAnsi="Times New Roman"/>
                <w:color w:val="676C74"/>
                <w:sz w:val="21"/>
                <w:szCs w:val="21"/>
              </w:rPr>
            </w:pPr>
            <w:r w:rsidRPr="00CD4D44">
              <w:rPr>
                <w:rFonts w:ascii="Times New Roman" w:eastAsia="Times New Roman" w:hAnsi="Times New Roman"/>
                <w:b/>
                <w:bCs/>
                <w:color w:val="676C74"/>
                <w:sz w:val="21"/>
                <w:szCs w:val="21"/>
              </w:rPr>
              <w:t>Accessing your money</w:t>
            </w:r>
          </w:p>
        </w:tc>
        <w:tc>
          <w:tcPr>
            <w:tcW w:w="4000" w:type="dxa"/>
            <w:shd w:val="clear" w:color="auto" w:fill="EEEEEE"/>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Load and reload foreign currency on your card first</w:t>
            </w:r>
          </w:p>
        </w:tc>
        <w:tc>
          <w:tcPr>
            <w:tcW w:w="0" w:type="auto"/>
            <w:shd w:val="clear" w:color="auto" w:fill="EEEEEE"/>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Funds withdrawn from linked transaction accounts</w:t>
            </w:r>
          </w:p>
        </w:tc>
        <w:tc>
          <w:tcPr>
            <w:tcW w:w="0" w:type="auto"/>
            <w:shd w:val="clear" w:color="auto" w:fill="EEEEEE"/>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Funds are drawn down from credit card limit</w:t>
            </w:r>
          </w:p>
        </w:tc>
      </w:tr>
      <w:tr w:rsidR="00CD4D44" w:rsidRPr="00CD4D44" w:rsidTr="00CD4D44">
        <w:tc>
          <w:tcPr>
            <w:tcW w:w="0" w:type="auto"/>
            <w:shd w:val="clear" w:color="auto" w:fill="E8E8E8"/>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Times New Roman" w:eastAsia="Times New Roman" w:hAnsi="Times New Roman"/>
                <w:color w:val="676C74"/>
                <w:sz w:val="21"/>
                <w:szCs w:val="21"/>
              </w:rPr>
            </w:pPr>
            <w:r w:rsidRPr="00CD4D44">
              <w:rPr>
                <w:rFonts w:ascii="Times New Roman" w:eastAsia="Times New Roman" w:hAnsi="Times New Roman"/>
                <w:b/>
                <w:bCs/>
                <w:color w:val="676C74"/>
                <w:sz w:val="21"/>
                <w:szCs w:val="21"/>
              </w:rPr>
              <w:t>Card issuing fee</w:t>
            </w:r>
          </w:p>
        </w:tc>
        <w:tc>
          <w:tcPr>
            <w:tcW w:w="4000" w:type="dxa"/>
            <w:shd w:val="clear" w:color="auto" w:fill="E8E8E8"/>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$0</w:t>
            </w:r>
          </w:p>
        </w:tc>
        <w:tc>
          <w:tcPr>
            <w:tcW w:w="0" w:type="auto"/>
            <w:shd w:val="clear" w:color="auto" w:fill="E8E8E8"/>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$0</w:t>
            </w:r>
          </w:p>
        </w:tc>
        <w:tc>
          <w:tcPr>
            <w:tcW w:w="0" w:type="auto"/>
            <w:shd w:val="clear" w:color="auto" w:fill="E8E8E8"/>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$0</w:t>
            </w:r>
          </w:p>
        </w:tc>
      </w:tr>
      <w:tr w:rsidR="00CD4D44" w:rsidRPr="00CD4D44" w:rsidTr="00CD4D44">
        <w:tc>
          <w:tcPr>
            <w:tcW w:w="0" w:type="auto"/>
            <w:shd w:val="clear" w:color="auto" w:fill="EEEEEE"/>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Times New Roman" w:eastAsia="Times New Roman" w:hAnsi="Times New Roman"/>
                <w:color w:val="676C74"/>
                <w:sz w:val="21"/>
                <w:szCs w:val="21"/>
              </w:rPr>
            </w:pPr>
            <w:r w:rsidRPr="00CD4D44">
              <w:rPr>
                <w:rFonts w:ascii="Times New Roman" w:eastAsia="Times New Roman" w:hAnsi="Times New Roman"/>
                <w:b/>
                <w:bCs/>
                <w:color w:val="676C74"/>
                <w:sz w:val="21"/>
                <w:szCs w:val="21"/>
              </w:rPr>
              <w:t>Account fee</w:t>
            </w:r>
          </w:p>
        </w:tc>
        <w:tc>
          <w:tcPr>
            <w:tcW w:w="4000" w:type="dxa"/>
            <w:shd w:val="clear" w:color="auto" w:fill="EEEEEE"/>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$0</w:t>
            </w:r>
          </w:p>
        </w:tc>
        <w:tc>
          <w:tcPr>
            <w:tcW w:w="0" w:type="auto"/>
            <w:shd w:val="clear" w:color="auto" w:fill="EEEEEE"/>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Yes (monthly account fee on linked everyday account may apply)</w:t>
            </w:r>
          </w:p>
        </w:tc>
        <w:tc>
          <w:tcPr>
            <w:tcW w:w="0" w:type="auto"/>
            <w:shd w:val="clear" w:color="auto" w:fill="EEEEEE"/>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Yes (annual fees apply)</w:t>
            </w:r>
          </w:p>
        </w:tc>
      </w:tr>
      <w:tr w:rsidR="00CD4D44" w:rsidRPr="00CD4D44" w:rsidTr="00CD4D44">
        <w:tc>
          <w:tcPr>
            <w:tcW w:w="0" w:type="auto"/>
            <w:shd w:val="clear" w:color="auto" w:fill="E8E8E8"/>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Times New Roman" w:eastAsia="Times New Roman" w:hAnsi="Times New Roman"/>
                <w:color w:val="676C74"/>
                <w:sz w:val="21"/>
                <w:szCs w:val="21"/>
              </w:rPr>
            </w:pPr>
            <w:r w:rsidRPr="00CD4D44">
              <w:rPr>
                <w:rFonts w:ascii="Times New Roman" w:eastAsia="Times New Roman" w:hAnsi="Times New Roman"/>
                <w:b/>
                <w:bCs/>
                <w:color w:val="676C74"/>
                <w:sz w:val="21"/>
                <w:szCs w:val="21"/>
              </w:rPr>
              <w:t>Overseas ATM withdrawal/Cash advance</w:t>
            </w:r>
            <w:r w:rsidRPr="00CD4D44">
              <w:rPr>
                <w:rFonts w:ascii="Times New Roman" w:eastAsia="Times New Roman" w:hAnsi="Times New Roman"/>
                <w:color w:val="676C74"/>
                <w:sz w:val="16"/>
                <w:szCs w:val="16"/>
                <w:vertAlign w:val="superscript"/>
              </w:rPr>
              <w:t>1</w:t>
            </w:r>
          </w:p>
        </w:tc>
        <w:tc>
          <w:tcPr>
            <w:tcW w:w="4000" w:type="dxa"/>
            <w:shd w:val="clear" w:color="auto" w:fill="E8E8E8"/>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AUD 3.50, or foreign currency equivalent using the </w:t>
            </w:r>
            <w:hyperlink r:id="rId4" w:tgtFrame="_blank" w:history="1">
              <w:r w:rsidRPr="00CD4D44">
                <w:rPr>
                  <w:rFonts w:ascii="Arial Narrow" w:eastAsia="Times New Roman" w:hAnsi="Arial Narrow"/>
                  <w:color w:val="2367C5"/>
                  <w:sz w:val="22"/>
                  <w:szCs w:val="22"/>
                </w:rPr>
                <w:t>Visa exchange rate</w:t>
              </w:r>
            </w:hyperlink>
            <w:r w:rsidRPr="00CD4D44">
              <w:rPr>
                <w:rFonts w:ascii="Arial Narrow" w:eastAsia="Times New Roman" w:hAnsi="Arial Narrow"/>
                <w:color w:val="676C74"/>
                <w:sz w:val="22"/>
                <w:szCs w:val="22"/>
              </w:rPr>
              <w:t> at the time of the withdrawal</w:t>
            </w:r>
            <w:r w:rsidRPr="00CD4D44">
              <w:rPr>
                <w:rFonts w:ascii="Arial Narrow" w:eastAsia="Times New Roman" w:hAnsi="Arial Narrow"/>
                <w:color w:val="676C74"/>
                <w:sz w:val="22"/>
                <w:szCs w:val="22"/>
                <w:vertAlign w:val="superscript"/>
              </w:rPr>
              <w:t>2</w:t>
            </w:r>
          </w:p>
        </w:tc>
        <w:tc>
          <w:tcPr>
            <w:tcW w:w="0" w:type="auto"/>
            <w:shd w:val="clear" w:color="auto" w:fill="E8E8E8"/>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 xml:space="preserve">Commonwealth Bank ATMs outside Australia and </w:t>
            </w:r>
            <w:proofErr w:type="spellStart"/>
            <w:r w:rsidRPr="00CD4D44">
              <w:rPr>
                <w:rFonts w:ascii="Arial Narrow" w:eastAsia="Times New Roman" w:hAnsi="Arial Narrow"/>
                <w:color w:val="676C74"/>
                <w:sz w:val="22"/>
                <w:szCs w:val="22"/>
              </w:rPr>
              <w:t>ASB</w:t>
            </w:r>
            <w:proofErr w:type="spellEnd"/>
            <w:r w:rsidRPr="00CD4D44">
              <w:rPr>
                <w:rFonts w:ascii="Arial Narrow" w:eastAsia="Times New Roman" w:hAnsi="Arial Narrow"/>
                <w:color w:val="676C74"/>
                <w:sz w:val="22"/>
                <w:szCs w:val="22"/>
              </w:rPr>
              <w:t xml:space="preserve"> Bank ATMs in New Zealand - AUD $2.00 each</w:t>
            </w:r>
          </w:p>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All other cash withdrawals outside Australia - AUD $5.00 plus 3.00% of the transaction value</w:t>
            </w:r>
            <w:r w:rsidRPr="00CD4D44">
              <w:rPr>
                <w:rFonts w:ascii="Arial Narrow" w:eastAsia="Times New Roman" w:hAnsi="Arial Narrow"/>
                <w:color w:val="676C74"/>
                <w:sz w:val="22"/>
                <w:szCs w:val="22"/>
                <w:vertAlign w:val="superscript"/>
              </w:rPr>
              <w:t>3</w:t>
            </w:r>
          </w:p>
        </w:tc>
        <w:tc>
          <w:tcPr>
            <w:tcW w:w="0" w:type="auto"/>
            <w:shd w:val="clear" w:color="auto" w:fill="E8E8E8"/>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AUD $3.00 or 3.00% of transaction value, whichever is greater</w:t>
            </w:r>
            <w:r w:rsidRPr="00CD4D44">
              <w:rPr>
                <w:rFonts w:ascii="Arial Narrow" w:eastAsia="Times New Roman" w:hAnsi="Arial Narrow"/>
                <w:color w:val="676C74"/>
                <w:sz w:val="22"/>
                <w:szCs w:val="22"/>
                <w:vertAlign w:val="superscript"/>
              </w:rPr>
              <w:t>4</w:t>
            </w:r>
          </w:p>
        </w:tc>
      </w:tr>
      <w:tr w:rsidR="00CD4D44" w:rsidRPr="00CD4D44" w:rsidTr="00CD4D44">
        <w:tc>
          <w:tcPr>
            <w:tcW w:w="0" w:type="auto"/>
            <w:shd w:val="clear" w:color="auto" w:fill="EEEEEE"/>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Times New Roman" w:eastAsia="Times New Roman" w:hAnsi="Times New Roman"/>
                <w:color w:val="676C74"/>
                <w:sz w:val="21"/>
                <w:szCs w:val="21"/>
              </w:rPr>
            </w:pPr>
            <w:r w:rsidRPr="00CD4D44">
              <w:rPr>
                <w:rFonts w:ascii="Times New Roman" w:eastAsia="Times New Roman" w:hAnsi="Times New Roman"/>
                <w:b/>
                <w:bCs/>
                <w:color w:val="676C74"/>
                <w:sz w:val="21"/>
                <w:szCs w:val="21"/>
              </w:rPr>
              <w:lastRenderedPageBreak/>
              <w:t>Reload fees</w:t>
            </w:r>
          </w:p>
        </w:tc>
        <w:tc>
          <w:tcPr>
            <w:tcW w:w="4000" w:type="dxa"/>
            <w:shd w:val="clear" w:color="auto" w:fill="EEEEEE"/>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$0 </w:t>
            </w:r>
          </w:p>
        </w:tc>
        <w:tc>
          <w:tcPr>
            <w:tcW w:w="0" w:type="auto"/>
            <w:shd w:val="clear" w:color="auto" w:fill="EEEEEE"/>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N/A</w:t>
            </w:r>
          </w:p>
        </w:tc>
        <w:tc>
          <w:tcPr>
            <w:tcW w:w="0" w:type="auto"/>
            <w:shd w:val="clear" w:color="auto" w:fill="EEEEEE"/>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N/A</w:t>
            </w:r>
          </w:p>
        </w:tc>
      </w:tr>
      <w:tr w:rsidR="00CD4D44" w:rsidRPr="00CD4D44" w:rsidTr="00CD4D44">
        <w:tc>
          <w:tcPr>
            <w:tcW w:w="0" w:type="auto"/>
            <w:shd w:val="clear" w:color="auto" w:fill="E8E8E8"/>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Times New Roman" w:eastAsia="Times New Roman" w:hAnsi="Times New Roman"/>
                <w:color w:val="676C74"/>
                <w:sz w:val="21"/>
                <w:szCs w:val="21"/>
              </w:rPr>
            </w:pPr>
            <w:r w:rsidRPr="00CD4D44">
              <w:rPr>
                <w:rFonts w:ascii="Times New Roman" w:eastAsia="Times New Roman" w:hAnsi="Times New Roman"/>
                <w:b/>
                <w:bCs/>
                <w:color w:val="676C74"/>
                <w:sz w:val="21"/>
                <w:szCs w:val="21"/>
              </w:rPr>
              <w:t>Interest charged</w:t>
            </w:r>
          </w:p>
        </w:tc>
        <w:tc>
          <w:tcPr>
            <w:tcW w:w="4000" w:type="dxa"/>
            <w:shd w:val="clear" w:color="auto" w:fill="E8E8E8"/>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N/A</w:t>
            </w:r>
          </w:p>
        </w:tc>
        <w:tc>
          <w:tcPr>
            <w:tcW w:w="0" w:type="auto"/>
            <w:shd w:val="clear" w:color="auto" w:fill="E8E8E8"/>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No</w:t>
            </w:r>
          </w:p>
        </w:tc>
        <w:tc>
          <w:tcPr>
            <w:tcW w:w="0" w:type="auto"/>
            <w:shd w:val="clear" w:color="auto" w:fill="E8E8E8"/>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Yes</w:t>
            </w:r>
            <w:r w:rsidRPr="00CD4D44">
              <w:rPr>
                <w:rFonts w:ascii="Arial Narrow" w:eastAsia="Times New Roman" w:hAnsi="Arial Narrow"/>
                <w:color w:val="676C74"/>
                <w:sz w:val="22"/>
                <w:szCs w:val="22"/>
              </w:rPr>
              <w:br/>
            </w:r>
            <w:r w:rsidRPr="00CD4D44">
              <w:rPr>
                <w:rFonts w:ascii="Arial Narrow" w:eastAsia="Times New Roman" w:hAnsi="Arial Narrow"/>
                <w:color w:val="676C74"/>
                <w:sz w:val="22"/>
                <w:szCs w:val="22"/>
              </w:rPr>
              <w:br/>
              <w:t>Pay no interest on purchases for up to 55 days, when you pay the full closing balance on your statement by the due date each month</w:t>
            </w:r>
          </w:p>
        </w:tc>
      </w:tr>
      <w:tr w:rsidR="00CD4D44" w:rsidRPr="00CD4D44" w:rsidTr="00CD4D44">
        <w:tc>
          <w:tcPr>
            <w:tcW w:w="0" w:type="auto"/>
            <w:shd w:val="clear" w:color="auto" w:fill="EEEEEE"/>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Times New Roman" w:eastAsia="Times New Roman" w:hAnsi="Times New Roman"/>
                <w:color w:val="676C74"/>
                <w:sz w:val="21"/>
                <w:szCs w:val="21"/>
              </w:rPr>
            </w:pPr>
            <w:r w:rsidRPr="00CD4D44">
              <w:rPr>
                <w:rFonts w:ascii="Times New Roman" w:eastAsia="Times New Roman" w:hAnsi="Times New Roman"/>
                <w:b/>
                <w:bCs/>
                <w:color w:val="676C74"/>
                <w:sz w:val="21"/>
                <w:szCs w:val="21"/>
              </w:rPr>
              <w:t>Foreign exchange rates</w:t>
            </w:r>
            <w:r w:rsidRPr="00CD4D44">
              <w:rPr>
                <w:rFonts w:ascii="Times New Roman" w:eastAsia="Times New Roman" w:hAnsi="Times New Roman"/>
                <w:color w:val="676C74"/>
                <w:sz w:val="16"/>
                <w:szCs w:val="16"/>
                <w:vertAlign w:val="superscript"/>
              </w:rPr>
              <w:t>5</w:t>
            </w:r>
          </w:p>
        </w:tc>
        <w:tc>
          <w:tcPr>
            <w:tcW w:w="4000" w:type="dxa"/>
            <w:shd w:val="clear" w:color="auto" w:fill="EEEEEE"/>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Exchange rate is locked in when you order and load foreign currency on your card. </w:t>
            </w:r>
            <w:hyperlink r:id="rId5" w:history="1">
              <w:r w:rsidRPr="00CD4D44">
                <w:rPr>
                  <w:rFonts w:ascii="Arial Narrow" w:eastAsia="Times New Roman" w:hAnsi="Arial Narrow"/>
                  <w:color w:val="2367C5"/>
                  <w:sz w:val="22"/>
                  <w:szCs w:val="22"/>
                </w:rPr>
                <w:t>Check rates now</w:t>
              </w:r>
            </w:hyperlink>
          </w:p>
        </w:tc>
        <w:tc>
          <w:tcPr>
            <w:tcW w:w="0" w:type="auto"/>
            <w:shd w:val="clear" w:color="auto" w:fill="EEEEEE"/>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hyperlink r:id="rId6" w:tgtFrame="_blank" w:history="1">
              <w:r w:rsidRPr="00CD4D44">
                <w:rPr>
                  <w:rFonts w:ascii="Arial Narrow" w:eastAsia="Times New Roman" w:hAnsi="Arial Narrow"/>
                  <w:color w:val="2367C5"/>
                  <w:sz w:val="22"/>
                  <w:szCs w:val="22"/>
                </w:rPr>
                <w:t>Mastercard foreign exchange rate</w:t>
              </w:r>
            </w:hyperlink>
            <w:r w:rsidRPr="00CD4D44">
              <w:rPr>
                <w:rFonts w:ascii="Arial Narrow" w:eastAsia="Times New Roman" w:hAnsi="Arial Narrow"/>
                <w:color w:val="676C74"/>
                <w:sz w:val="22"/>
                <w:szCs w:val="22"/>
              </w:rPr>
              <w:t> applicable on day transaction is processed</w:t>
            </w:r>
          </w:p>
        </w:tc>
        <w:tc>
          <w:tcPr>
            <w:tcW w:w="0" w:type="auto"/>
            <w:shd w:val="clear" w:color="auto" w:fill="EEEEEE"/>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hyperlink r:id="rId7" w:tgtFrame="_blank" w:history="1">
              <w:r w:rsidRPr="00CD4D44">
                <w:rPr>
                  <w:rFonts w:ascii="Arial Narrow" w:eastAsia="Times New Roman" w:hAnsi="Arial Narrow"/>
                  <w:color w:val="2367C5"/>
                  <w:sz w:val="22"/>
                  <w:szCs w:val="22"/>
                </w:rPr>
                <w:t>Mastercard foreign exchange rate</w:t>
              </w:r>
            </w:hyperlink>
            <w:r w:rsidRPr="00CD4D44">
              <w:rPr>
                <w:rFonts w:ascii="Arial Narrow" w:eastAsia="Times New Roman" w:hAnsi="Arial Narrow"/>
                <w:color w:val="676C74"/>
                <w:sz w:val="22"/>
                <w:szCs w:val="22"/>
              </w:rPr>
              <w:t> applicable on day transaction is processed</w:t>
            </w:r>
            <w:r w:rsidRPr="00CD4D44">
              <w:rPr>
                <w:rFonts w:ascii="Arial Narrow" w:eastAsia="Times New Roman" w:hAnsi="Arial Narrow"/>
                <w:color w:val="676C74"/>
                <w:sz w:val="22"/>
                <w:szCs w:val="22"/>
              </w:rPr>
              <w:br/>
            </w:r>
            <w:r w:rsidRPr="00CD4D44">
              <w:rPr>
                <w:rFonts w:ascii="Arial Narrow" w:eastAsia="Times New Roman" w:hAnsi="Arial Narrow"/>
                <w:color w:val="676C74"/>
                <w:sz w:val="22"/>
                <w:szCs w:val="22"/>
              </w:rPr>
              <w:br/>
            </w:r>
            <w:hyperlink r:id="rId8" w:tgtFrame="_blank" w:history="1">
              <w:r w:rsidRPr="00CD4D44">
                <w:rPr>
                  <w:rFonts w:ascii="Arial Narrow" w:eastAsia="Times New Roman" w:hAnsi="Arial Narrow"/>
                  <w:color w:val="2367C5"/>
                  <w:sz w:val="22"/>
                  <w:szCs w:val="22"/>
                </w:rPr>
                <w:t>VISA foreign exchange rate</w:t>
              </w:r>
            </w:hyperlink>
            <w:r w:rsidRPr="00CD4D44">
              <w:rPr>
                <w:rFonts w:ascii="Arial Narrow" w:eastAsia="Times New Roman" w:hAnsi="Arial Narrow"/>
                <w:color w:val="676C74"/>
                <w:sz w:val="22"/>
                <w:szCs w:val="22"/>
              </w:rPr>
              <w:t> applicable on day transaction is processed</w:t>
            </w:r>
          </w:p>
        </w:tc>
      </w:tr>
      <w:tr w:rsidR="00CD4D44" w:rsidRPr="00CD4D44" w:rsidTr="00CD4D44">
        <w:tc>
          <w:tcPr>
            <w:tcW w:w="0" w:type="auto"/>
            <w:shd w:val="clear" w:color="auto" w:fill="E8E8E8"/>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Times New Roman" w:eastAsia="Times New Roman" w:hAnsi="Times New Roman"/>
                <w:color w:val="676C74"/>
                <w:sz w:val="21"/>
                <w:szCs w:val="21"/>
              </w:rPr>
            </w:pPr>
            <w:r w:rsidRPr="00CD4D44">
              <w:rPr>
                <w:rFonts w:ascii="Times New Roman" w:eastAsia="Times New Roman" w:hAnsi="Times New Roman"/>
                <w:b/>
                <w:bCs/>
                <w:color w:val="676C74"/>
                <w:sz w:val="21"/>
                <w:szCs w:val="21"/>
              </w:rPr>
              <w:t>International transaction fee</w:t>
            </w:r>
          </w:p>
        </w:tc>
        <w:tc>
          <w:tcPr>
            <w:tcW w:w="4000" w:type="dxa"/>
            <w:shd w:val="clear" w:color="auto" w:fill="E8E8E8"/>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N/A</w:t>
            </w:r>
          </w:p>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Note: If you use your card for a transaction in a currency that is not loaded, or when we automatically transfer funds between the currencies on your card to enable the completion of the transaction, the Visa exchange rate at the time of the conversion plus 4.00% will apply to the currency conversion.</w:t>
            </w:r>
          </w:p>
        </w:tc>
        <w:tc>
          <w:tcPr>
            <w:tcW w:w="0" w:type="auto"/>
            <w:shd w:val="clear" w:color="auto" w:fill="E8E8E8"/>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3.00% of transaction value</w:t>
            </w:r>
          </w:p>
        </w:tc>
        <w:tc>
          <w:tcPr>
            <w:tcW w:w="0" w:type="auto"/>
            <w:shd w:val="clear" w:color="auto" w:fill="E8E8E8"/>
            <w:tcMar>
              <w:top w:w="135" w:type="dxa"/>
              <w:left w:w="150" w:type="dxa"/>
              <w:bottom w:w="135" w:type="dxa"/>
              <w:right w:w="150" w:type="dxa"/>
            </w:tcMar>
            <w:vAlign w:val="center"/>
            <w:hideMark/>
          </w:tcPr>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Transactions converted by Mastercard</w:t>
            </w:r>
            <w:r w:rsidRPr="00CD4D44">
              <w:rPr>
                <w:rFonts w:ascii="Arial Narrow" w:eastAsia="Times New Roman" w:hAnsi="Arial Narrow"/>
                <w:color w:val="676C74"/>
                <w:sz w:val="22"/>
                <w:szCs w:val="22"/>
                <w:vertAlign w:val="superscript"/>
              </w:rPr>
              <w:t>®</w:t>
            </w:r>
            <w:r w:rsidRPr="00CD4D44">
              <w:rPr>
                <w:rFonts w:ascii="Arial Narrow" w:eastAsia="Times New Roman" w:hAnsi="Arial Narrow"/>
                <w:color w:val="676C74"/>
                <w:sz w:val="22"/>
                <w:szCs w:val="22"/>
              </w:rPr>
              <w:t> or Visa</w:t>
            </w:r>
            <w:r w:rsidRPr="00CD4D44">
              <w:rPr>
                <w:rFonts w:ascii="Arial Narrow" w:eastAsia="Times New Roman" w:hAnsi="Arial Narrow"/>
                <w:color w:val="676C74"/>
                <w:sz w:val="22"/>
                <w:szCs w:val="22"/>
                <w:vertAlign w:val="superscript"/>
              </w:rPr>
              <w:t>®6</w:t>
            </w:r>
            <w:r w:rsidRPr="00CD4D44">
              <w:rPr>
                <w:rFonts w:ascii="Arial Narrow" w:eastAsia="Times New Roman" w:hAnsi="Arial Narrow"/>
                <w:color w:val="676C74"/>
                <w:sz w:val="22"/>
                <w:szCs w:val="22"/>
              </w:rPr>
              <w:t> - 3.00%</w:t>
            </w:r>
          </w:p>
          <w:p w:rsidR="00CD4D44" w:rsidRPr="00CD4D44" w:rsidRDefault="00CD4D44" w:rsidP="00CD4D44">
            <w:pPr>
              <w:spacing w:before="240" w:after="240" w:line="240" w:lineRule="auto"/>
              <w:rPr>
                <w:rFonts w:ascii="Arial Narrow" w:eastAsia="Times New Roman" w:hAnsi="Arial Narrow"/>
                <w:color w:val="676C74"/>
                <w:sz w:val="22"/>
                <w:szCs w:val="22"/>
              </w:rPr>
            </w:pPr>
            <w:r w:rsidRPr="00CD4D44">
              <w:rPr>
                <w:rFonts w:ascii="Arial Narrow" w:eastAsia="Times New Roman" w:hAnsi="Arial Narrow"/>
                <w:color w:val="676C74"/>
                <w:sz w:val="22"/>
                <w:szCs w:val="22"/>
              </w:rPr>
              <w:t>Transactions in Australian dollars but with an overseas connection</w:t>
            </w:r>
            <w:r w:rsidRPr="00CD4D44">
              <w:rPr>
                <w:rFonts w:ascii="Arial Narrow" w:eastAsia="Times New Roman" w:hAnsi="Arial Narrow"/>
                <w:color w:val="676C74"/>
                <w:sz w:val="22"/>
                <w:szCs w:val="22"/>
                <w:vertAlign w:val="superscript"/>
              </w:rPr>
              <w:t>6</w:t>
            </w:r>
            <w:r w:rsidRPr="00CD4D44">
              <w:rPr>
                <w:rFonts w:ascii="Arial Narrow" w:eastAsia="Times New Roman" w:hAnsi="Arial Narrow"/>
                <w:color w:val="676C74"/>
                <w:sz w:val="22"/>
                <w:szCs w:val="22"/>
              </w:rPr>
              <w:t> - 3.00%</w:t>
            </w:r>
          </w:p>
        </w:tc>
      </w:tr>
    </w:tbl>
    <w:p w:rsidR="00CD4D44" w:rsidRPr="00CD4D44" w:rsidRDefault="00CD4D44" w:rsidP="00CD4D44">
      <w:pPr>
        <w:shd w:val="clear" w:color="auto" w:fill="FFFFFF"/>
        <w:spacing w:before="360" w:after="0" w:line="360" w:lineRule="atLeast"/>
        <w:rPr>
          <w:rFonts w:ascii="Helvetica" w:eastAsia="Times New Roman" w:hAnsi="Helvetica" w:cs="Helvetica"/>
          <w:color w:val="676C74"/>
          <w:spacing w:val="-4"/>
        </w:rPr>
      </w:pPr>
      <w:r w:rsidRPr="00CD4D44">
        <w:rPr>
          <w:rFonts w:ascii="Helvetica" w:eastAsia="Times New Roman" w:hAnsi="Helvetica" w:cs="Helvetica"/>
          <w:b/>
          <w:bCs/>
          <w:color w:val="676C74"/>
          <w:spacing w:val="-4"/>
        </w:rPr>
        <w:t>Important information</w:t>
      </w:r>
    </w:p>
    <w:p w:rsidR="00CD4D44" w:rsidRPr="00CD4D44" w:rsidRDefault="00CD4D44" w:rsidP="00CD4D44">
      <w:pPr>
        <w:shd w:val="clear" w:color="auto" w:fill="FFFFFF"/>
        <w:spacing w:before="360" w:after="0" w:line="360" w:lineRule="atLeast"/>
        <w:rPr>
          <w:rFonts w:ascii="Helvetica" w:eastAsia="Times New Roman" w:hAnsi="Helvetica" w:cs="Helvetica"/>
          <w:color w:val="676C74"/>
          <w:spacing w:val="-4"/>
        </w:rPr>
      </w:pPr>
      <w:r w:rsidRPr="00CD4D44">
        <w:rPr>
          <w:rFonts w:ascii="Helvetica" w:eastAsia="Times New Roman" w:hAnsi="Helvetica" w:cs="Helvetica"/>
          <w:color w:val="676C74"/>
          <w:spacing w:val="-4"/>
          <w:vertAlign w:val="superscript"/>
        </w:rPr>
        <w:lastRenderedPageBreak/>
        <w:t>1 </w:t>
      </w:r>
      <w:r w:rsidRPr="00CD4D44">
        <w:rPr>
          <w:rFonts w:ascii="Helvetica" w:eastAsia="Times New Roman" w:hAnsi="Helvetica" w:cs="Helvetica"/>
          <w:color w:val="676C74"/>
          <w:spacing w:val="-4"/>
        </w:rPr>
        <w:t>These fees are charged by Commonwealth Bank. There may be additional fees applied by international banks on top of these and you may be notified of this at the ATM or cash dispensing merchant prior to the transaction being completed.</w:t>
      </w:r>
    </w:p>
    <w:p w:rsidR="00CD4D44" w:rsidRPr="00CD4D44" w:rsidRDefault="00CD4D44" w:rsidP="00CD4D44">
      <w:pPr>
        <w:shd w:val="clear" w:color="auto" w:fill="FFFFFF"/>
        <w:spacing w:before="360" w:after="0" w:line="360" w:lineRule="atLeast"/>
        <w:rPr>
          <w:rFonts w:ascii="Helvetica" w:eastAsia="Times New Roman" w:hAnsi="Helvetica" w:cs="Helvetica"/>
          <w:color w:val="676C74"/>
          <w:spacing w:val="-4"/>
        </w:rPr>
      </w:pPr>
      <w:r w:rsidRPr="00CD4D44">
        <w:rPr>
          <w:rFonts w:ascii="Helvetica" w:eastAsia="Times New Roman" w:hAnsi="Helvetica" w:cs="Helvetica"/>
          <w:color w:val="676C74"/>
          <w:spacing w:val="-4"/>
          <w:vertAlign w:val="superscript"/>
        </w:rPr>
        <w:t>2 </w:t>
      </w:r>
      <w:r w:rsidRPr="00CD4D44">
        <w:rPr>
          <w:rFonts w:ascii="Helvetica" w:eastAsia="Times New Roman" w:hAnsi="Helvetica" w:cs="Helvetica"/>
          <w:color w:val="676C74"/>
          <w:spacing w:val="-4"/>
        </w:rPr>
        <w:t>The fee will be</w:t>
      </w:r>
      <w:r w:rsidRPr="00CD4D44">
        <w:rPr>
          <w:rFonts w:ascii="Helvetica" w:eastAsia="Times New Roman" w:hAnsi="Helvetica" w:cs="Helvetica"/>
          <w:color w:val="676C74"/>
          <w:spacing w:val="-4"/>
          <w:vertAlign w:val="superscript"/>
        </w:rPr>
        <w:t> </w:t>
      </w:r>
      <w:r w:rsidRPr="00CD4D44">
        <w:rPr>
          <w:rFonts w:ascii="Helvetica" w:eastAsia="Times New Roman" w:hAnsi="Helvetica" w:cs="Helvetica"/>
          <w:color w:val="676C74"/>
          <w:spacing w:val="-4"/>
        </w:rPr>
        <w:t>taken from the currency the withdrawal is conducted in.</w:t>
      </w:r>
    </w:p>
    <w:p w:rsidR="00CD4D44" w:rsidRPr="00CD4D44" w:rsidRDefault="00CD4D44" w:rsidP="00CD4D44">
      <w:pPr>
        <w:shd w:val="clear" w:color="auto" w:fill="FFFFFF"/>
        <w:spacing w:before="360" w:after="0" w:line="360" w:lineRule="atLeast"/>
        <w:rPr>
          <w:rFonts w:ascii="Helvetica" w:eastAsia="Times New Roman" w:hAnsi="Helvetica" w:cs="Helvetica"/>
          <w:color w:val="676C74"/>
          <w:spacing w:val="-4"/>
        </w:rPr>
      </w:pPr>
      <w:r w:rsidRPr="00CD4D44">
        <w:rPr>
          <w:rFonts w:ascii="Helvetica" w:eastAsia="Times New Roman" w:hAnsi="Helvetica" w:cs="Helvetica"/>
          <w:color w:val="676C74"/>
          <w:spacing w:val="-4"/>
          <w:vertAlign w:val="superscript"/>
        </w:rPr>
        <w:t>3 </w:t>
      </w:r>
      <w:r w:rsidRPr="00CD4D44">
        <w:rPr>
          <w:rFonts w:ascii="Helvetica" w:eastAsia="Times New Roman" w:hAnsi="Helvetica" w:cs="Helvetica"/>
          <w:color w:val="676C74"/>
          <w:spacing w:val="-4"/>
        </w:rPr>
        <w:t>Cirrus, Mastercard or Visa plus cash withdrawal.</w:t>
      </w:r>
    </w:p>
    <w:p w:rsidR="00CD4D44" w:rsidRPr="00CD4D44" w:rsidRDefault="00CD4D44" w:rsidP="00CD4D44">
      <w:pPr>
        <w:shd w:val="clear" w:color="auto" w:fill="FFFFFF"/>
        <w:spacing w:before="360" w:after="0" w:line="360" w:lineRule="atLeast"/>
        <w:rPr>
          <w:rFonts w:ascii="Helvetica" w:eastAsia="Times New Roman" w:hAnsi="Helvetica" w:cs="Helvetica"/>
          <w:color w:val="676C74"/>
          <w:spacing w:val="-4"/>
        </w:rPr>
      </w:pPr>
      <w:r w:rsidRPr="00CD4D44">
        <w:rPr>
          <w:rFonts w:ascii="Helvetica" w:eastAsia="Times New Roman" w:hAnsi="Helvetica" w:cs="Helvetica"/>
          <w:color w:val="676C74"/>
          <w:spacing w:val="-4"/>
          <w:vertAlign w:val="superscript"/>
        </w:rPr>
        <w:t>4 </w:t>
      </w:r>
      <w:r w:rsidRPr="00CD4D44">
        <w:rPr>
          <w:rFonts w:ascii="Helvetica" w:eastAsia="Times New Roman" w:hAnsi="Helvetica" w:cs="Helvetica"/>
          <w:color w:val="676C74"/>
          <w:spacing w:val="-4"/>
        </w:rPr>
        <w:t>A maximum charge of $300, or a flat fee of $3.00 applies if your closing balance on the previous business day was in credit. The international transaction fee would also apply.</w:t>
      </w:r>
    </w:p>
    <w:p w:rsidR="00CD4D44" w:rsidRPr="00CD4D44" w:rsidRDefault="00CD4D44" w:rsidP="00CD4D44">
      <w:pPr>
        <w:shd w:val="clear" w:color="auto" w:fill="FFFFFF"/>
        <w:spacing w:before="360" w:after="0" w:line="360" w:lineRule="atLeast"/>
        <w:rPr>
          <w:rFonts w:ascii="Helvetica" w:eastAsia="Times New Roman" w:hAnsi="Helvetica" w:cs="Helvetica"/>
          <w:color w:val="676C74"/>
          <w:spacing w:val="-4"/>
        </w:rPr>
      </w:pPr>
      <w:r w:rsidRPr="00CD4D44">
        <w:rPr>
          <w:rFonts w:ascii="Helvetica" w:eastAsia="Times New Roman" w:hAnsi="Helvetica" w:cs="Helvetica"/>
          <w:color w:val="676C74"/>
          <w:spacing w:val="-4"/>
          <w:vertAlign w:val="superscript"/>
        </w:rPr>
        <w:t>5 </w:t>
      </w:r>
      <w:r w:rsidRPr="00CD4D44">
        <w:rPr>
          <w:rFonts w:ascii="Helvetica" w:eastAsia="Times New Roman" w:hAnsi="Helvetica" w:cs="Helvetica"/>
          <w:color w:val="676C74"/>
          <w:spacing w:val="-4"/>
        </w:rPr>
        <w:t>For Travel Money Card, the rate applicable to the conversion is the retail exchange rate at the time of the conversion. For Debit Mastercard or Mastercard credit card, the exchange rate that is applied to a transaction is the exchange rate as of the day of settlement which is the day that Mastercard determines the settlement amount to be exchanged between the acquirer and the issuer. The settlement date is therefore typically different from the date of the actual transaction.</w:t>
      </w:r>
    </w:p>
    <w:p w:rsidR="00CD4D44" w:rsidRPr="00CD4D44" w:rsidRDefault="00CD4D44" w:rsidP="00CD4D44">
      <w:pPr>
        <w:shd w:val="clear" w:color="auto" w:fill="FFFFFF"/>
        <w:spacing w:before="360" w:after="0" w:line="360" w:lineRule="atLeast"/>
        <w:rPr>
          <w:rFonts w:ascii="Helvetica" w:eastAsia="Times New Roman" w:hAnsi="Helvetica" w:cs="Helvetica"/>
          <w:color w:val="676C74"/>
          <w:spacing w:val="-4"/>
        </w:rPr>
      </w:pPr>
      <w:r w:rsidRPr="00CD4D44">
        <w:rPr>
          <w:rFonts w:ascii="Helvetica" w:eastAsia="Times New Roman" w:hAnsi="Helvetica" w:cs="Helvetica"/>
          <w:color w:val="676C74"/>
          <w:spacing w:val="-4"/>
          <w:vertAlign w:val="superscript"/>
        </w:rPr>
        <w:t>6</w:t>
      </w:r>
      <w:r w:rsidRPr="00CD4D44">
        <w:rPr>
          <w:rFonts w:ascii="Helvetica" w:eastAsia="Times New Roman" w:hAnsi="Helvetica" w:cs="Helvetica"/>
          <w:color w:val="676C74"/>
          <w:spacing w:val="-4"/>
        </w:rPr>
        <w:t> Applies when you make a purchase or obtain a cash advance in Australian dollars while overseas, or while you are in Australia (for example online) where the merchant, or the financial institution or entity processing the transaction, is located overseas.  For cash advances, the relevant cash advance charge will also apply.</w:t>
      </w:r>
    </w:p>
    <w:p w:rsidR="00CD4D44" w:rsidRPr="00CD4D44" w:rsidRDefault="00CD4D44" w:rsidP="00CD4D44">
      <w:pPr>
        <w:shd w:val="clear" w:color="auto" w:fill="FFFFFF"/>
        <w:spacing w:before="360" w:after="0" w:line="360" w:lineRule="atLeast"/>
        <w:rPr>
          <w:rFonts w:ascii="Helvetica" w:eastAsia="Times New Roman" w:hAnsi="Helvetica" w:cs="Helvetica"/>
          <w:color w:val="676C74"/>
          <w:spacing w:val="-4"/>
        </w:rPr>
      </w:pPr>
      <w:r w:rsidRPr="00CD4D44">
        <w:rPr>
          <w:rFonts w:ascii="Helvetica" w:eastAsia="Times New Roman" w:hAnsi="Helvetica" w:cs="Helvetica"/>
          <w:color w:val="676C74"/>
          <w:spacing w:val="-4"/>
        </w:rPr>
        <w:t>* CommBank American Express cards are no longer available for sale. Existing cards have been closed but some transactions may still occur. International transaction fees apply to any overseas transactions, including on Platinum and Diamond Awards American Express Cards.</w:t>
      </w:r>
    </w:p>
    <w:p w:rsidR="0067749D" w:rsidRPr="00CD4D44" w:rsidRDefault="0067749D">
      <w:pPr>
        <w:rPr>
          <w:sz w:val="22"/>
          <w:szCs w:val="22"/>
        </w:rPr>
      </w:pPr>
    </w:p>
    <w:sectPr w:rsidR="0067749D" w:rsidRPr="00CD4D44" w:rsidSect="00CD4D4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44"/>
    <w:rsid w:val="004340E5"/>
    <w:rsid w:val="0067749D"/>
    <w:rsid w:val="009079ED"/>
    <w:rsid w:val="00CD4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0D12C-3C28-4986-943A-36B724B5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4D44"/>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D44"/>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CD4D44"/>
    <w:pPr>
      <w:spacing w:before="100" w:beforeAutospacing="1" w:after="100" w:afterAutospacing="1" w:line="240" w:lineRule="auto"/>
    </w:pPr>
    <w:rPr>
      <w:rFonts w:ascii="Times New Roman" w:eastAsia="Times New Roman" w:hAnsi="Times New Roman"/>
    </w:rPr>
  </w:style>
  <w:style w:type="character" w:styleId="Hyperlink">
    <w:name w:val="Hyperlink"/>
    <w:basedOn w:val="DefaultParagraphFont"/>
    <w:uiPriority w:val="99"/>
    <w:unhideWhenUsed/>
    <w:rsid w:val="00CD4D44"/>
    <w:rPr>
      <w:color w:val="0000FF"/>
      <w:u w:val="single"/>
    </w:rPr>
  </w:style>
  <w:style w:type="character" w:customStyle="1" w:styleId="text-small">
    <w:name w:val="text-small"/>
    <w:basedOn w:val="DefaultParagraphFont"/>
    <w:rsid w:val="00CD4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044413">
      <w:bodyDiv w:val="1"/>
      <w:marLeft w:val="0"/>
      <w:marRight w:val="0"/>
      <w:marTop w:val="0"/>
      <w:marBottom w:val="0"/>
      <w:divBdr>
        <w:top w:val="none" w:sz="0" w:space="0" w:color="auto"/>
        <w:left w:val="none" w:sz="0" w:space="0" w:color="auto"/>
        <w:bottom w:val="none" w:sz="0" w:space="0" w:color="auto"/>
        <w:right w:val="none" w:sz="0" w:space="0" w:color="auto"/>
      </w:divBdr>
      <w:divsChild>
        <w:div w:id="2054882146">
          <w:marLeft w:val="0"/>
          <w:marRight w:val="0"/>
          <w:marTop w:val="0"/>
          <w:marBottom w:val="0"/>
          <w:divBdr>
            <w:top w:val="none" w:sz="0" w:space="0" w:color="auto"/>
            <w:left w:val="none" w:sz="0" w:space="0" w:color="auto"/>
            <w:bottom w:val="none" w:sz="0" w:space="0" w:color="auto"/>
            <w:right w:val="none" w:sz="0" w:space="0" w:color="auto"/>
          </w:divBdr>
          <w:divsChild>
            <w:div w:id="551037878">
              <w:marLeft w:val="0"/>
              <w:marRight w:val="0"/>
              <w:marTop w:val="0"/>
              <w:marBottom w:val="0"/>
              <w:divBdr>
                <w:top w:val="none" w:sz="0" w:space="0" w:color="auto"/>
                <w:left w:val="none" w:sz="0" w:space="0" w:color="auto"/>
                <w:bottom w:val="none" w:sz="0" w:space="0" w:color="auto"/>
                <w:right w:val="none" w:sz="0" w:space="0" w:color="auto"/>
              </w:divBdr>
              <w:divsChild>
                <w:div w:id="1844778240">
                  <w:marLeft w:val="0"/>
                  <w:marRight w:val="0"/>
                  <w:marTop w:val="0"/>
                  <w:marBottom w:val="0"/>
                  <w:divBdr>
                    <w:top w:val="none" w:sz="0" w:space="0" w:color="auto"/>
                    <w:left w:val="none" w:sz="0" w:space="0" w:color="auto"/>
                    <w:bottom w:val="none" w:sz="0" w:space="0" w:color="auto"/>
                    <w:right w:val="none" w:sz="0" w:space="0" w:color="auto"/>
                  </w:divBdr>
                  <w:divsChild>
                    <w:div w:id="1554124213">
                      <w:marLeft w:val="0"/>
                      <w:marRight w:val="0"/>
                      <w:marTop w:val="0"/>
                      <w:marBottom w:val="0"/>
                      <w:divBdr>
                        <w:top w:val="none" w:sz="0" w:space="0" w:color="auto"/>
                        <w:left w:val="none" w:sz="0" w:space="0" w:color="auto"/>
                        <w:bottom w:val="none" w:sz="0" w:space="0" w:color="auto"/>
                        <w:right w:val="none" w:sz="0" w:space="0" w:color="auto"/>
                      </w:divBdr>
                      <w:divsChild>
                        <w:div w:id="397672788">
                          <w:marLeft w:val="0"/>
                          <w:marRight w:val="0"/>
                          <w:marTop w:val="0"/>
                          <w:marBottom w:val="0"/>
                          <w:divBdr>
                            <w:top w:val="none" w:sz="0" w:space="0" w:color="auto"/>
                            <w:left w:val="none" w:sz="0" w:space="0" w:color="auto"/>
                            <w:bottom w:val="none" w:sz="0" w:space="0" w:color="auto"/>
                            <w:right w:val="none" w:sz="0" w:space="0" w:color="auto"/>
                          </w:divBdr>
                        </w:div>
                        <w:div w:id="268509165">
                          <w:marLeft w:val="0"/>
                          <w:marRight w:val="0"/>
                          <w:marTop w:val="0"/>
                          <w:marBottom w:val="0"/>
                          <w:divBdr>
                            <w:top w:val="none" w:sz="0" w:space="0" w:color="auto"/>
                            <w:left w:val="none" w:sz="0" w:space="0" w:color="auto"/>
                            <w:bottom w:val="none" w:sz="0" w:space="0" w:color="auto"/>
                            <w:right w:val="none" w:sz="0" w:space="0" w:color="auto"/>
                          </w:divBdr>
                          <w:divsChild>
                            <w:div w:id="29187195">
                              <w:marLeft w:val="0"/>
                              <w:marRight w:val="0"/>
                              <w:marTop w:val="0"/>
                              <w:marBottom w:val="0"/>
                              <w:divBdr>
                                <w:top w:val="none" w:sz="0" w:space="0" w:color="auto"/>
                                <w:left w:val="none" w:sz="0" w:space="0" w:color="auto"/>
                                <w:bottom w:val="none" w:sz="0" w:space="0" w:color="auto"/>
                                <w:right w:val="none" w:sz="0" w:space="0" w:color="auto"/>
                              </w:divBdr>
                              <w:divsChild>
                                <w:div w:id="1542522200">
                                  <w:marLeft w:val="0"/>
                                  <w:marRight w:val="0"/>
                                  <w:marTop w:val="0"/>
                                  <w:marBottom w:val="0"/>
                                  <w:divBdr>
                                    <w:top w:val="none" w:sz="0" w:space="0" w:color="auto"/>
                                    <w:left w:val="none" w:sz="0" w:space="0" w:color="auto"/>
                                    <w:bottom w:val="none" w:sz="0" w:space="0" w:color="auto"/>
                                    <w:right w:val="none" w:sz="0" w:space="0" w:color="auto"/>
                                  </w:divBdr>
                                  <w:divsChild>
                                    <w:div w:id="596793362">
                                      <w:marLeft w:val="0"/>
                                      <w:marRight w:val="0"/>
                                      <w:marTop w:val="0"/>
                                      <w:marBottom w:val="0"/>
                                      <w:divBdr>
                                        <w:top w:val="none" w:sz="0" w:space="0" w:color="auto"/>
                                        <w:left w:val="none" w:sz="0" w:space="0" w:color="auto"/>
                                        <w:bottom w:val="none" w:sz="0" w:space="0" w:color="auto"/>
                                        <w:right w:val="none" w:sz="0" w:space="0" w:color="auto"/>
                                      </w:divBdr>
                                      <w:divsChild>
                                        <w:div w:id="414938121">
                                          <w:marLeft w:val="0"/>
                                          <w:marRight w:val="0"/>
                                          <w:marTop w:val="0"/>
                                          <w:marBottom w:val="0"/>
                                          <w:divBdr>
                                            <w:top w:val="none" w:sz="0" w:space="0" w:color="auto"/>
                                            <w:left w:val="none" w:sz="0" w:space="0" w:color="auto"/>
                                            <w:bottom w:val="none" w:sz="0" w:space="0" w:color="auto"/>
                                            <w:right w:val="none" w:sz="0" w:space="0" w:color="auto"/>
                                          </w:divBdr>
                                          <w:divsChild>
                                            <w:div w:id="2068188051">
                                              <w:marLeft w:val="0"/>
                                              <w:marRight w:val="0"/>
                                              <w:marTop w:val="0"/>
                                              <w:marBottom w:val="0"/>
                                              <w:divBdr>
                                                <w:top w:val="none" w:sz="0" w:space="0" w:color="auto"/>
                                                <w:left w:val="none" w:sz="0" w:space="0" w:color="auto"/>
                                                <w:bottom w:val="none" w:sz="0" w:space="0" w:color="auto"/>
                                                <w:right w:val="none" w:sz="0" w:space="0" w:color="auto"/>
                                              </w:divBdr>
                                              <w:divsChild>
                                                <w:div w:id="20988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049232">
          <w:marLeft w:val="0"/>
          <w:marRight w:val="0"/>
          <w:marTop w:val="0"/>
          <w:marBottom w:val="0"/>
          <w:divBdr>
            <w:top w:val="none" w:sz="0" w:space="0" w:color="auto"/>
            <w:left w:val="none" w:sz="0" w:space="0" w:color="auto"/>
            <w:bottom w:val="none" w:sz="0" w:space="0" w:color="auto"/>
            <w:right w:val="none" w:sz="0" w:space="0" w:color="auto"/>
          </w:divBdr>
          <w:divsChild>
            <w:div w:id="1825588700">
              <w:marLeft w:val="0"/>
              <w:marRight w:val="0"/>
              <w:marTop w:val="0"/>
              <w:marBottom w:val="0"/>
              <w:divBdr>
                <w:top w:val="none" w:sz="0" w:space="0" w:color="auto"/>
                <w:left w:val="none" w:sz="0" w:space="0" w:color="auto"/>
                <w:bottom w:val="none" w:sz="0" w:space="0" w:color="auto"/>
                <w:right w:val="none" w:sz="0" w:space="0" w:color="auto"/>
              </w:divBdr>
              <w:divsChild>
                <w:div w:id="2116629247">
                  <w:marLeft w:val="0"/>
                  <w:marRight w:val="0"/>
                  <w:marTop w:val="0"/>
                  <w:marBottom w:val="0"/>
                  <w:divBdr>
                    <w:top w:val="none" w:sz="0" w:space="0" w:color="auto"/>
                    <w:left w:val="none" w:sz="0" w:space="0" w:color="auto"/>
                    <w:bottom w:val="none" w:sz="0" w:space="0" w:color="auto"/>
                    <w:right w:val="none" w:sz="0" w:space="0" w:color="auto"/>
                  </w:divBdr>
                  <w:divsChild>
                    <w:div w:id="736706855">
                      <w:marLeft w:val="0"/>
                      <w:marRight w:val="0"/>
                      <w:marTop w:val="0"/>
                      <w:marBottom w:val="0"/>
                      <w:divBdr>
                        <w:top w:val="none" w:sz="0" w:space="0" w:color="auto"/>
                        <w:left w:val="none" w:sz="0" w:space="0" w:color="auto"/>
                        <w:bottom w:val="none" w:sz="0" w:space="0" w:color="auto"/>
                        <w:right w:val="none" w:sz="0" w:space="0" w:color="auto"/>
                      </w:divBdr>
                      <w:divsChild>
                        <w:div w:id="368183594">
                          <w:marLeft w:val="0"/>
                          <w:marRight w:val="0"/>
                          <w:marTop w:val="0"/>
                          <w:marBottom w:val="0"/>
                          <w:divBdr>
                            <w:top w:val="none" w:sz="0" w:space="0" w:color="auto"/>
                            <w:left w:val="none" w:sz="0" w:space="0" w:color="auto"/>
                            <w:bottom w:val="none" w:sz="0" w:space="0" w:color="auto"/>
                            <w:right w:val="none" w:sz="0" w:space="0" w:color="auto"/>
                          </w:divBdr>
                          <w:divsChild>
                            <w:div w:id="733429992">
                              <w:marLeft w:val="0"/>
                              <w:marRight w:val="0"/>
                              <w:marTop w:val="0"/>
                              <w:marBottom w:val="0"/>
                              <w:divBdr>
                                <w:top w:val="none" w:sz="0" w:space="0" w:color="auto"/>
                                <w:left w:val="none" w:sz="0" w:space="0" w:color="auto"/>
                                <w:bottom w:val="none" w:sz="0" w:space="0" w:color="auto"/>
                                <w:right w:val="none" w:sz="0" w:space="0" w:color="auto"/>
                              </w:divBdr>
                              <w:divsChild>
                                <w:div w:id="349838247">
                                  <w:marLeft w:val="0"/>
                                  <w:marRight w:val="0"/>
                                  <w:marTop w:val="0"/>
                                  <w:marBottom w:val="0"/>
                                  <w:divBdr>
                                    <w:top w:val="none" w:sz="0" w:space="0" w:color="auto"/>
                                    <w:left w:val="none" w:sz="0" w:space="0" w:color="auto"/>
                                    <w:bottom w:val="none" w:sz="0" w:space="0" w:color="auto"/>
                                    <w:right w:val="none" w:sz="0" w:space="0" w:color="auto"/>
                                  </w:divBdr>
                                  <w:divsChild>
                                    <w:div w:id="1981301505">
                                      <w:marLeft w:val="0"/>
                                      <w:marRight w:val="0"/>
                                      <w:marTop w:val="0"/>
                                      <w:marBottom w:val="0"/>
                                      <w:divBdr>
                                        <w:top w:val="none" w:sz="0" w:space="0" w:color="auto"/>
                                        <w:left w:val="none" w:sz="0" w:space="0" w:color="auto"/>
                                        <w:bottom w:val="none" w:sz="0" w:space="0" w:color="auto"/>
                                        <w:right w:val="none" w:sz="0" w:space="0" w:color="auto"/>
                                      </w:divBdr>
                                      <w:divsChild>
                                        <w:div w:id="588469167">
                                          <w:marLeft w:val="0"/>
                                          <w:marRight w:val="0"/>
                                          <w:marTop w:val="0"/>
                                          <w:marBottom w:val="0"/>
                                          <w:divBdr>
                                            <w:top w:val="none" w:sz="0" w:space="0" w:color="auto"/>
                                            <w:left w:val="none" w:sz="0" w:space="0" w:color="auto"/>
                                            <w:bottom w:val="none" w:sz="0" w:space="0" w:color="auto"/>
                                            <w:right w:val="none" w:sz="0" w:space="0" w:color="auto"/>
                                          </w:divBdr>
                                          <w:divsChild>
                                            <w:div w:id="1077288549">
                                              <w:marLeft w:val="0"/>
                                              <w:marRight w:val="0"/>
                                              <w:marTop w:val="0"/>
                                              <w:marBottom w:val="0"/>
                                              <w:divBdr>
                                                <w:top w:val="none" w:sz="0" w:space="0" w:color="auto"/>
                                                <w:left w:val="none" w:sz="0" w:space="0" w:color="auto"/>
                                                <w:bottom w:val="none" w:sz="0" w:space="0" w:color="auto"/>
                                                <w:right w:val="none" w:sz="0" w:space="0" w:color="auto"/>
                                              </w:divBdr>
                                            </w:div>
                                            <w:div w:id="529802271">
                                              <w:marLeft w:val="0"/>
                                              <w:marRight w:val="0"/>
                                              <w:marTop w:val="0"/>
                                              <w:marBottom w:val="0"/>
                                              <w:divBdr>
                                                <w:top w:val="none" w:sz="0" w:space="0" w:color="auto"/>
                                                <w:left w:val="none" w:sz="0" w:space="0" w:color="auto"/>
                                                <w:bottom w:val="none" w:sz="0" w:space="0" w:color="auto"/>
                                                <w:right w:val="none" w:sz="0" w:space="0" w:color="auto"/>
                                              </w:divBdr>
                                            </w:div>
                                            <w:div w:id="1530533366">
                                              <w:marLeft w:val="0"/>
                                              <w:marRight w:val="0"/>
                                              <w:marTop w:val="0"/>
                                              <w:marBottom w:val="0"/>
                                              <w:divBdr>
                                                <w:top w:val="none" w:sz="0" w:space="0" w:color="auto"/>
                                                <w:left w:val="none" w:sz="0" w:space="0" w:color="auto"/>
                                                <w:bottom w:val="none" w:sz="0" w:space="0" w:color="auto"/>
                                                <w:right w:val="none" w:sz="0" w:space="0" w:color="auto"/>
                                              </w:divBdr>
                                            </w:div>
                                            <w:div w:id="74985856">
                                              <w:marLeft w:val="0"/>
                                              <w:marRight w:val="0"/>
                                              <w:marTop w:val="0"/>
                                              <w:marBottom w:val="0"/>
                                              <w:divBdr>
                                                <w:top w:val="none" w:sz="0" w:space="0" w:color="auto"/>
                                                <w:left w:val="none" w:sz="0" w:space="0" w:color="auto"/>
                                                <w:bottom w:val="none" w:sz="0" w:space="0" w:color="auto"/>
                                                <w:right w:val="none" w:sz="0" w:space="0" w:color="auto"/>
                                              </w:divBdr>
                                            </w:div>
                                            <w:div w:id="138693858">
                                              <w:marLeft w:val="0"/>
                                              <w:marRight w:val="0"/>
                                              <w:marTop w:val="0"/>
                                              <w:marBottom w:val="0"/>
                                              <w:divBdr>
                                                <w:top w:val="none" w:sz="0" w:space="0" w:color="auto"/>
                                                <w:left w:val="none" w:sz="0" w:space="0" w:color="auto"/>
                                                <w:bottom w:val="none" w:sz="0" w:space="0" w:color="auto"/>
                                                <w:right w:val="none" w:sz="0" w:space="0" w:color="auto"/>
                                              </w:divBdr>
                                            </w:div>
                                            <w:div w:id="642588338">
                                              <w:marLeft w:val="0"/>
                                              <w:marRight w:val="0"/>
                                              <w:marTop w:val="0"/>
                                              <w:marBottom w:val="0"/>
                                              <w:divBdr>
                                                <w:top w:val="none" w:sz="0" w:space="0" w:color="auto"/>
                                                <w:left w:val="none" w:sz="0" w:space="0" w:color="auto"/>
                                                <w:bottom w:val="none" w:sz="0" w:space="0" w:color="auto"/>
                                                <w:right w:val="none" w:sz="0" w:space="0" w:color="auto"/>
                                              </w:divBdr>
                                            </w:div>
                                            <w:div w:id="302735939">
                                              <w:marLeft w:val="0"/>
                                              <w:marRight w:val="0"/>
                                              <w:marTop w:val="0"/>
                                              <w:marBottom w:val="0"/>
                                              <w:divBdr>
                                                <w:top w:val="none" w:sz="0" w:space="0" w:color="auto"/>
                                                <w:left w:val="none" w:sz="0" w:space="0" w:color="auto"/>
                                                <w:bottom w:val="none" w:sz="0" w:space="0" w:color="auto"/>
                                                <w:right w:val="none" w:sz="0" w:space="0" w:color="auto"/>
                                              </w:divBdr>
                                            </w:div>
                                            <w:div w:id="1075859822">
                                              <w:marLeft w:val="0"/>
                                              <w:marRight w:val="0"/>
                                              <w:marTop w:val="0"/>
                                              <w:marBottom w:val="0"/>
                                              <w:divBdr>
                                                <w:top w:val="none" w:sz="0" w:space="0" w:color="auto"/>
                                                <w:left w:val="none" w:sz="0" w:space="0" w:color="auto"/>
                                                <w:bottom w:val="none" w:sz="0" w:space="0" w:color="auto"/>
                                                <w:right w:val="none" w:sz="0" w:space="0" w:color="auto"/>
                                              </w:divBdr>
                                            </w:div>
                                            <w:div w:id="358316424">
                                              <w:marLeft w:val="0"/>
                                              <w:marRight w:val="0"/>
                                              <w:marTop w:val="0"/>
                                              <w:marBottom w:val="0"/>
                                              <w:divBdr>
                                                <w:top w:val="none" w:sz="0" w:space="0" w:color="auto"/>
                                                <w:left w:val="none" w:sz="0" w:space="0" w:color="auto"/>
                                                <w:bottom w:val="none" w:sz="0" w:space="0" w:color="auto"/>
                                                <w:right w:val="none" w:sz="0" w:space="0" w:color="auto"/>
                                              </w:divBdr>
                                            </w:div>
                                            <w:div w:id="1906604261">
                                              <w:marLeft w:val="0"/>
                                              <w:marRight w:val="0"/>
                                              <w:marTop w:val="0"/>
                                              <w:marBottom w:val="0"/>
                                              <w:divBdr>
                                                <w:top w:val="none" w:sz="0" w:space="0" w:color="auto"/>
                                                <w:left w:val="none" w:sz="0" w:space="0" w:color="auto"/>
                                                <w:bottom w:val="none" w:sz="0" w:space="0" w:color="auto"/>
                                                <w:right w:val="none" w:sz="0" w:space="0" w:color="auto"/>
                                              </w:divBdr>
                                            </w:div>
                                            <w:div w:id="383257422">
                                              <w:marLeft w:val="0"/>
                                              <w:marRight w:val="0"/>
                                              <w:marTop w:val="0"/>
                                              <w:marBottom w:val="0"/>
                                              <w:divBdr>
                                                <w:top w:val="none" w:sz="0" w:space="0" w:color="auto"/>
                                                <w:left w:val="none" w:sz="0" w:space="0" w:color="auto"/>
                                                <w:bottom w:val="none" w:sz="0" w:space="0" w:color="auto"/>
                                                <w:right w:val="none" w:sz="0" w:space="0" w:color="auto"/>
                                              </w:divBdr>
                                            </w:div>
                                            <w:div w:id="786777612">
                                              <w:marLeft w:val="0"/>
                                              <w:marRight w:val="0"/>
                                              <w:marTop w:val="0"/>
                                              <w:marBottom w:val="0"/>
                                              <w:divBdr>
                                                <w:top w:val="none" w:sz="0" w:space="0" w:color="auto"/>
                                                <w:left w:val="none" w:sz="0" w:space="0" w:color="auto"/>
                                                <w:bottom w:val="none" w:sz="0" w:space="0" w:color="auto"/>
                                                <w:right w:val="none" w:sz="0" w:space="0" w:color="auto"/>
                                              </w:divBdr>
                                            </w:div>
                                            <w:div w:id="1710913627">
                                              <w:marLeft w:val="0"/>
                                              <w:marRight w:val="0"/>
                                              <w:marTop w:val="0"/>
                                              <w:marBottom w:val="0"/>
                                              <w:divBdr>
                                                <w:top w:val="none" w:sz="0" w:space="0" w:color="auto"/>
                                                <w:left w:val="none" w:sz="0" w:space="0" w:color="auto"/>
                                                <w:bottom w:val="none" w:sz="0" w:space="0" w:color="auto"/>
                                                <w:right w:val="none" w:sz="0" w:space="0" w:color="auto"/>
                                              </w:divBdr>
                                            </w:div>
                                            <w:div w:id="2014411018">
                                              <w:marLeft w:val="0"/>
                                              <w:marRight w:val="0"/>
                                              <w:marTop w:val="0"/>
                                              <w:marBottom w:val="0"/>
                                              <w:divBdr>
                                                <w:top w:val="none" w:sz="0" w:space="0" w:color="auto"/>
                                                <w:left w:val="none" w:sz="0" w:space="0" w:color="auto"/>
                                                <w:bottom w:val="none" w:sz="0" w:space="0" w:color="auto"/>
                                                <w:right w:val="none" w:sz="0" w:space="0" w:color="auto"/>
                                              </w:divBdr>
                                            </w:div>
                                            <w:div w:id="462311982">
                                              <w:marLeft w:val="0"/>
                                              <w:marRight w:val="0"/>
                                              <w:marTop w:val="0"/>
                                              <w:marBottom w:val="0"/>
                                              <w:divBdr>
                                                <w:top w:val="none" w:sz="0" w:space="0" w:color="auto"/>
                                                <w:left w:val="none" w:sz="0" w:space="0" w:color="auto"/>
                                                <w:bottom w:val="none" w:sz="0" w:space="0" w:color="auto"/>
                                                <w:right w:val="none" w:sz="0" w:space="0" w:color="auto"/>
                                              </w:divBdr>
                                            </w:div>
                                            <w:div w:id="1140462413">
                                              <w:marLeft w:val="0"/>
                                              <w:marRight w:val="0"/>
                                              <w:marTop w:val="0"/>
                                              <w:marBottom w:val="0"/>
                                              <w:divBdr>
                                                <w:top w:val="none" w:sz="0" w:space="0" w:color="auto"/>
                                                <w:left w:val="none" w:sz="0" w:space="0" w:color="auto"/>
                                                <w:bottom w:val="none" w:sz="0" w:space="0" w:color="auto"/>
                                                <w:right w:val="none" w:sz="0" w:space="0" w:color="auto"/>
                                              </w:divBdr>
                                            </w:div>
                                            <w:div w:id="219682095">
                                              <w:marLeft w:val="0"/>
                                              <w:marRight w:val="0"/>
                                              <w:marTop w:val="0"/>
                                              <w:marBottom w:val="0"/>
                                              <w:divBdr>
                                                <w:top w:val="none" w:sz="0" w:space="0" w:color="auto"/>
                                                <w:left w:val="none" w:sz="0" w:space="0" w:color="auto"/>
                                                <w:bottom w:val="none" w:sz="0" w:space="0" w:color="auto"/>
                                                <w:right w:val="none" w:sz="0" w:space="0" w:color="auto"/>
                                              </w:divBdr>
                                            </w:div>
                                            <w:div w:id="1030375722">
                                              <w:marLeft w:val="0"/>
                                              <w:marRight w:val="0"/>
                                              <w:marTop w:val="0"/>
                                              <w:marBottom w:val="0"/>
                                              <w:divBdr>
                                                <w:top w:val="none" w:sz="0" w:space="0" w:color="auto"/>
                                                <w:left w:val="none" w:sz="0" w:space="0" w:color="auto"/>
                                                <w:bottom w:val="none" w:sz="0" w:space="0" w:color="auto"/>
                                                <w:right w:val="none" w:sz="0" w:space="0" w:color="auto"/>
                                              </w:divBdr>
                                            </w:div>
                                            <w:div w:id="2125423475">
                                              <w:marLeft w:val="0"/>
                                              <w:marRight w:val="0"/>
                                              <w:marTop w:val="0"/>
                                              <w:marBottom w:val="0"/>
                                              <w:divBdr>
                                                <w:top w:val="none" w:sz="0" w:space="0" w:color="auto"/>
                                                <w:left w:val="none" w:sz="0" w:space="0" w:color="auto"/>
                                                <w:bottom w:val="none" w:sz="0" w:space="0" w:color="auto"/>
                                                <w:right w:val="none" w:sz="0" w:space="0" w:color="auto"/>
                                              </w:divBdr>
                                            </w:div>
                                            <w:div w:id="1804226636">
                                              <w:marLeft w:val="0"/>
                                              <w:marRight w:val="0"/>
                                              <w:marTop w:val="0"/>
                                              <w:marBottom w:val="0"/>
                                              <w:divBdr>
                                                <w:top w:val="none" w:sz="0" w:space="0" w:color="auto"/>
                                                <w:left w:val="none" w:sz="0" w:space="0" w:color="auto"/>
                                                <w:bottom w:val="none" w:sz="0" w:space="0" w:color="auto"/>
                                                <w:right w:val="none" w:sz="0" w:space="0" w:color="auto"/>
                                              </w:divBdr>
                                            </w:div>
                                            <w:div w:id="173762369">
                                              <w:marLeft w:val="0"/>
                                              <w:marRight w:val="0"/>
                                              <w:marTop w:val="0"/>
                                              <w:marBottom w:val="0"/>
                                              <w:divBdr>
                                                <w:top w:val="none" w:sz="0" w:space="0" w:color="auto"/>
                                                <w:left w:val="none" w:sz="0" w:space="0" w:color="auto"/>
                                                <w:bottom w:val="none" w:sz="0" w:space="0" w:color="auto"/>
                                                <w:right w:val="none" w:sz="0" w:space="0" w:color="auto"/>
                                              </w:divBdr>
                                            </w:div>
                                            <w:div w:id="1031108991">
                                              <w:marLeft w:val="0"/>
                                              <w:marRight w:val="0"/>
                                              <w:marTop w:val="0"/>
                                              <w:marBottom w:val="0"/>
                                              <w:divBdr>
                                                <w:top w:val="none" w:sz="0" w:space="0" w:color="auto"/>
                                                <w:left w:val="none" w:sz="0" w:space="0" w:color="auto"/>
                                                <w:bottom w:val="none" w:sz="0" w:space="0" w:color="auto"/>
                                                <w:right w:val="none" w:sz="0" w:space="0" w:color="auto"/>
                                              </w:divBdr>
                                            </w:div>
                                            <w:div w:id="693699098">
                                              <w:marLeft w:val="0"/>
                                              <w:marRight w:val="0"/>
                                              <w:marTop w:val="0"/>
                                              <w:marBottom w:val="0"/>
                                              <w:divBdr>
                                                <w:top w:val="none" w:sz="0" w:space="0" w:color="auto"/>
                                                <w:left w:val="none" w:sz="0" w:space="0" w:color="auto"/>
                                                <w:bottom w:val="none" w:sz="0" w:space="0" w:color="auto"/>
                                                <w:right w:val="none" w:sz="0" w:space="0" w:color="auto"/>
                                              </w:divBdr>
                                            </w:div>
                                            <w:div w:id="562299499">
                                              <w:marLeft w:val="0"/>
                                              <w:marRight w:val="0"/>
                                              <w:marTop w:val="0"/>
                                              <w:marBottom w:val="0"/>
                                              <w:divBdr>
                                                <w:top w:val="none" w:sz="0" w:space="0" w:color="auto"/>
                                                <w:left w:val="none" w:sz="0" w:space="0" w:color="auto"/>
                                                <w:bottom w:val="none" w:sz="0" w:space="0" w:color="auto"/>
                                                <w:right w:val="none" w:sz="0" w:space="0" w:color="auto"/>
                                              </w:divBdr>
                                            </w:div>
                                            <w:div w:id="1530410723">
                                              <w:marLeft w:val="0"/>
                                              <w:marRight w:val="0"/>
                                              <w:marTop w:val="0"/>
                                              <w:marBottom w:val="0"/>
                                              <w:divBdr>
                                                <w:top w:val="none" w:sz="0" w:space="0" w:color="auto"/>
                                                <w:left w:val="none" w:sz="0" w:space="0" w:color="auto"/>
                                                <w:bottom w:val="none" w:sz="0" w:space="0" w:color="auto"/>
                                                <w:right w:val="none" w:sz="0" w:space="0" w:color="auto"/>
                                              </w:divBdr>
                                            </w:div>
                                            <w:div w:id="826016049">
                                              <w:marLeft w:val="0"/>
                                              <w:marRight w:val="0"/>
                                              <w:marTop w:val="0"/>
                                              <w:marBottom w:val="0"/>
                                              <w:divBdr>
                                                <w:top w:val="none" w:sz="0" w:space="0" w:color="auto"/>
                                                <w:left w:val="none" w:sz="0" w:space="0" w:color="auto"/>
                                                <w:bottom w:val="none" w:sz="0" w:space="0" w:color="auto"/>
                                                <w:right w:val="none" w:sz="0" w:space="0" w:color="auto"/>
                                              </w:divBdr>
                                            </w:div>
                                            <w:div w:id="1202551238">
                                              <w:marLeft w:val="0"/>
                                              <w:marRight w:val="0"/>
                                              <w:marTop w:val="0"/>
                                              <w:marBottom w:val="0"/>
                                              <w:divBdr>
                                                <w:top w:val="none" w:sz="0" w:space="0" w:color="auto"/>
                                                <w:left w:val="none" w:sz="0" w:space="0" w:color="auto"/>
                                                <w:bottom w:val="none" w:sz="0" w:space="0" w:color="auto"/>
                                                <w:right w:val="none" w:sz="0" w:space="0" w:color="auto"/>
                                              </w:divBdr>
                                            </w:div>
                                            <w:div w:id="1004362365">
                                              <w:marLeft w:val="0"/>
                                              <w:marRight w:val="0"/>
                                              <w:marTop w:val="0"/>
                                              <w:marBottom w:val="0"/>
                                              <w:divBdr>
                                                <w:top w:val="none" w:sz="0" w:space="0" w:color="auto"/>
                                                <w:left w:val="none" w:sz="0" w:space="0" w:color="auto"/>
                                                <w:bottom w:val="none" w:sz="0" w:space="0" w:color="auto"/>
                                                <w:right w:val="none" w:sz="0" w:space="0" w:color="auto"/>
                                              </w:divBdr>
                                            </w:div>
                                            <w:div w:id="390735246">
                                              <w:marLeft w:val="0"/>
                                              <w:marRight w:val="0"/>
                                              <w:marTop w:val="0"/>
                                              <w:marBottom w:val="0"/>
                                              <w:divBdr>
                                                <w:top w:val="none" w:sz="0" w:space="0" w:color="auto"/>
                                                <w:left w:val="none" w:sz="0" w:space="0" w:color="auto"/>
                                                <w:bottom w:val="none" w:sz="0" w:space="0" w:color="auto"/>
                                                <w:right w:val="none" w:sz="0" w:space="0" w:color="auto"/>
                                              </w:divBdr>
                                            </w:div>
                                            <w:div w:id="1404374617">
                                              <w:marLeft w:val="0"/>
                                              <w:marRight w:val="0"/>
                                              <w:marTop w:val="0"/>
                                              <w:marBottom w:val="0"/>
                                              <w:divBdr>
                                                <w:top w:val="none" w:sz="0" w:space="0" w:color="auto"/>
                                                <w:left w:val="none" w:sz="0" w:space="0" w:color="auto"/>
                                                <w:bottom w:val="none" w:sz="0" w:space="0" w:color="auto"/>
                                                <w:right w:val="none" w:sz="0" w:space="0" w:color="auto"/>
                                              </w:divBdr>
                                            </w:div>
                                            <w:div w:id="2056276690">
                                              <w:marLeft w:val="0"/>
                                              <w:marRight w:val="0"/>
                                              <w:marTop w:val="0"/>
                                              <w:marBottom w:val="0"/>
                                              <w:divBdr>
                                                <w:top w:val="none" w:sz="0" w:space="0" w:color="auto"/>
                                                <w:left w:val="none" w:sz="0" w:space="0" w:color="auto"/>
                                                <w:bottom w:val="none" w:sz="0" w:space="0" w:color="auto"/>
                                                <w:right w:val="none" w:sz="0" w:space="0" w:color="auto"/>
                                              </w:divBdr>
                                            </w:div>
                                            <w:div w:id="1903981699">
                                              <w:marLeft w:val="0"/>
                                              <w:marRight w:val="0"/>
                                              <w:marTop w:val="0"/>
                                              <w:marBottom w:val="0"/>
                                              <w:divBdr>
                                                <w:top w:val="none" w:sz="0" w:space="0" w:color="auto"/>
                                                <w:left w:val="none" w:sz="0" w:space="0" w:color="auto"/>
                                                <w:bottom w:val="none" w:sz="0" w:space="0" w:color="auto"/>
                                                <w:right w:val="none" w:sz="0" w:space="0" w:color="auto"/>
                                              </w:divBdr>
                                            </w:div>
                                            <w:div w:id="1735277093">
                                              <w:marLeft w:val="0"/>
                                              <w:marRight w:val="0"/>
                                              <w:marTop w:val="0"/>
                                              <w:marBottom w:val="0"/>
                                              <w:divBdr>
                                                <w:top w:val="none" w:sz="0" w:space="0" w:color="auto"/>
                                                <w:left w:val="none" w:sz="0" w:space="0" w:color="auto"/>
                                                <w:bottom w:val="none" w:sz="0" w:space="0" w:color="auto"/>
                                                <w:right w:val="none" w:sz="0" w:space="0" w:color="auto"/>
                                              </w:divBdr>
                                            </w:div>
                                            <w:div w:id="1145854498">
                                              <w:marLeft w:val="0"/>
                                              <w:marRight w:val="0"/>
                                              <w:marTop w:val="0"/>
                                              <w:marBottom w:val="0"/>
                                              <w:divBdr>
                                                <w:top w:val="none" w:sz="0" w:space="0" w:color="auto"/>
                                                <w:left w:val="none" w:sz="0" w:space="0" w:color="auto"/>
                                                <w:bottom w:val="none" w:sz="0" w:space="0" w:color="auto"/>
                                                <w:right w:val="none" w:sz="0" w:space="0" w:color="auto"/>
                                              </w:divBdr>
                                            </w:div>
                                            <w:div w:id="170382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el.visa.com/apcemea/au/en/travel-tools.html" TargetMode="External"/><Relationship Id="rId3" Type="http://schemas.openxmlformats.org/officeDocument/2006/relationships/webSettings" Target="webSettings.xml"/><Relationship Id="rId7" Type="http://schemas.openxmlformats.org/officeDocument/2006/relationships/hyperlink" Target="https://www.mastercard.com/global/currencyconver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tercard.com/global/currencyconversion/" TargetMode="External"/><Relationship Id="rId5" Type="http://schemas.openxmlformats.org/officeDocument/2006/relationships/hyperlink" Target="https://www.commbank.com.au/personal/international/foreign-exchange-rates.html?ei=checkFXrates" TargetMode="External"/><Relationship Id="rId10" Type="http://schemas.openxmlformats.org/officeDocument/2006/relationships/theme" Target="theme/theme1.xml"/><Relationship Id="rId4" Type="http://schemas.openxmlformats.org/officeDocument/2006/relationships/hyperlink" Target="https://www.visa.com.au/travel-with-visa/exchange-rate-calculator.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2023-08-19T00:40:00Z</dcterms:created>
  <dcterms:modified xsi:type="dcterms:W3CDTF">2023-08-19T01:03:00Z</dcterms:modified>
</cp:coreProperties>
</file>