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A0" w:rsidRPr="00683CA0" w:rsidRDefault="00683CA0" w:rsidP="00084050">
      <w:pPr>
        <w:spacing w:after="0" w:line="240" w:lineRule="auto"/>
        <w:rPr>
          <w:rFonts w:ascii="Cambria" w:eastAsia="Times New Roman" w:hAnsi="Cambria" w:cs="Arial"/>
          <w:b/>
          <w:bCs/>
          <w:color w:val="800000"/>
          <w:sz w:val="28"/>
          <w:szCs w:val="28"/>
          <w:shd w:val="clear" w:color="auto" w:fill="FFFFFF"/>
        </w:rPr>
      </w:pPr>
      <w:r w:rsidRPr="00683CA0">
        <w:rPr>
          <w:rFonts w:ascii="Cambria" w:eastAsia="Times New Roman" w:hAnsi="Cambria" w:cs="Arial"/>
          <w:b/>
          <w:bCs/>
          <w:color w:val="800000"/>
          <w:sz w:val="28"/>
          <w:szCs w:val="28"/>
          <w:shd w:val="clear" w:color="auto" w:fill="FFFFFF"/>
        </w:rPr>
        <w:t>THREE QUESTIONS TO THE FEDERAL TREASURER</w:t>
      </w:r>
    </w:p>
    <w:p w:rsidR="00B434CE" w:rsidRPr="00B434CE" w:rsidRDefault="00B434CE" w:rsidP="00C24646">
      <w:pPr>
        <w:spacing w:after="0" w:line="240" w:lineRule="auto"/>
        <w:rPr>
          <w:rFonts w:ascii="Cambria" w:eastAsia="Times New Roman" w:hAnsi="Cambria" w:cs="Arial"/>
          <w:b/>
          <w:bCs/>
          <w:color w:val="800000"/>
          <w:sz w:val="16"/>
          <w:szCs w:val="16"/>
          <w:shd w:val="clear" w:color="auto" w:fill="FFFFFF"/>
        </w:rPr>
      </w:pPr>
    </w:p>
    <w:p w:rsidR="00683CA0" w:rsidRPr="00683CA0" w:rsidRDefault="00683CA0" w:rsidP="00683CA0">
      <w:pPr>
        <w:spacing w:after="0" w:line="295" w:lineRule="atLeast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800000"/>
          <w:sz w:val="27"/>
          <w:szCs w:val="27"/>
          <w:shd w:val="clear" w:color="auto" w:fill="FFFFFF"/>
        </w:rPr>
        <w:t>QUESTION #1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:  What is the Labor Govt's reason for excluding a review of the RBA's performance in addressing </w:t>
      </w:r>
      <w:r w:rsidRPr="00683CA0">
        <w:rPr>
          <w:rFonts w:ascii="Cambria" w:eastAsia="Times New Roman" w:hAnsi="Cambria" w:cs="Arial"/>
          <w:b/>
          <w:bCs/>
          <w:i/>
          <w:iCs/>
          <w:color w:val="000000"/>
          <w:sz w:val="26"/>
          <w:szCs w:val="26"/>
        </w:rPr>
        <w:t>inter alia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-</w:t>
      </w:r>
    </w:p>
    <w:p w:rsidR="00683CA0" w:rsidRPr="00683CA0" w:rsidRDefault="00683CA0" w:rsidP="00683CA0">
      <w:pPr>
        <w:spacing w:after="0" w:line="295" w:lineRule="atLeast"/>
        <w:ind w:left="615" w:hanging="615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i)       </w:t>
      </w:r>
      <w:hyperlink r:id="rId6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Predatory Advertising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of </w:t>
      </w:r>
      <w:hyperlink r:id="rId7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Credit Cards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since the early '90s, in particular some </w:t>
      </w:r>
      <w:hyperlink r:id="rId8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Credit Card Issuers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="000260F9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have 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brazenly lured </w:t>
      </w:r>
      <w:hyperlink r:id="rId9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Financially Uneducated And Vulnerable Australian Credit Cardholders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with poor </w:t>
      </w:r>
      <w:hyperlink r:id="rId10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Financial Literacy Capacity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by marketing </w:t>
      </w:r>
      <w:hyperlink r:id="rId11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Balance Transfer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offers intent upon snaring the most lucrative payers of </w:t>
      </w:r>
      <w:hyperlink r:id="rId12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Interest and Penalty Fees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; and </w:t>
      </w:r>
    </w:p>
    <w:p w:rsidR="00683CA0" w:rsidRPr="00683CA0" w:rsidRDefault="00683CA0" w:rsidP="00683CA0">
      <w:pPr>
        <w:spacing w:after="0" w:line="295" w:lineRule="atLeast"/>
        <w:ind w:left="615" w:hanging="615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ii)      the </w:t>
      </w:r>
      <w:hyperlink r:id="rId13" w:history="1">
        <w:r w:rsidRPr="00683CA0">
          <w:rPr>
            <w:rFonts w:ascii="Cambria" w:eastAsia="Times New Roman" w:hAnsi="Cambria" w:cs="Arial"/>
            <w:b/>
            <w:bCs/>
            <w:i/>
            <w:iCs/>
            <w:color w:val="0000FF"/>
            <w:sz w:val="26"/>
            <w:szCs w:val="26"/>
            <w:u w:val="single"/>
            <w:shd w:val="clear" w:color="auto" w:fill="FFFFFF"/>
          </w:rPr>
          <w:t>User Pays Principle</w:t>
        </w:r>
      </w:hyperlink>
      <w:r w:rsidRPr="00683CA0">
        <w:rPr>
          <w:rFonts w:ascii="Cambria" w:eastAsia="Times New Roman" w:hAnsi="Cambria" w:cs="Arial"/>
          <w:b/>
          <w:bCs/>
          <w:i/>
          <w:iCs/>
          <w:color w:val="000000"/>
          <w:sz w:val="26"/>
          <w:szCs w:val="26"/>
          <w:shd w:val="clear" w:color="auto" w:fill="FFFFFF"/>
        </w:rPr>
        <w:t>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has never applied to the cost of providing </w:t>
      </w:r>
      <w:hyperlink r:id="rId14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Credit Card Products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="000260F9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on the </w:t>
      </w:r>
      <w:hyperlink r:id="rId15" w:history="1">
        <w:r w:rsidR="000260F9" w:rsidRPr="000260F9">
          <w:rPr>
            <w:rStyle w:val="Hyperlink"/>
            <w:rFonts w:ascii="Cambria" w:hAnsi="Cambria" w:cs="Arial"/>
            <w:b/>
            <w:bCs/>
            <w:sz w:val="26"/>
            <w:szCs w:val="26"/>
          </w:rPr>
          <w:t>Retail Supply Side</w:t>
        </w:r>
      </w:hyperlink>
      <w:r w:rsidR="000260F9" w:rsidRPr="000260F9">
        <w:rPr>
          <w:rFonts w:ascii="Cambria" w:hAnsi="Cambria" w:cs="Arial"/>
          <w:b/>
          <w:bCs/>
          <w:sz w:val="26"/>
          <w:szCs w:val="26"/>
        </w:rPr>
        <w:t xml:space="preserve"> 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in Australia:</w:t>
      </w:r>
    </w:p>
    <w:p w:rsidR="00683CA0" w:rsidRPr="00683CA0" w:rsidRDefault="00683CA0" w:rsidP="00683CA0">
      <w:pPr>
        <w:spacing w:after="0" w:line="295" w:lineRule="atLeast"/>
        <w:ind w:left="1275" w:hanging="1275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           *        </w:t>
      </w:r>
      <w:r w:rsidR="00B434CE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67% </w:t>
      </w:r>
      <w:r w:rsidRPr="00683CA0">
        <w:rPr>
          <w:rFonts w:ascii="Cambria" w:eastAsia="Times New Roman" w:hAnsi="Cambria" w:cs="Arial"/>
          <w:b/>
          <w:bCs/>
          <w:i/>
          <w:iCs/>
          <w:color w:val="000000"/>
          <w:sz w:val="26"/>
          <w:szCs w:val="26"/>
          <w:shd w:val="clear" w:color="auto" w:fill="FFFFFF"/>
        </w:rPr>
        <w:t>circa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of </w:t>
      </w:r>
      <w:hyperlink r:id="rId16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Credit Cardholders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identified by the RBA as </w:t>
      </w:r>
      <w:hyperlink r:id="rId17" w:history="1">
        <w:r w:rsidRPr="00683CA0">
          <w:rPr>
            <w:rFonts w:ascii="Cambria" w:eastAsia="Times New Roman" w:hAnsi="Cambria" w:cs="Arial"/>
            <w:b/>
            <w:bCs/>
            <w:i/>
            <w:iCs/>
            <w:color w:val="0000FF"/>
            <w:sz w:val="26"/>
            <w:szCs w:val="26"/>
            <w:u w:val="single"/>
          </w:rPr>
          <w:t>Transactors 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have enjoyed their</w:t>
      </w:r>
      <w:r w:rsidRPr="00683CA0">
        <w:rPr>
          <w:rFonts w:ascii="Cambria" w:eastAsia="Times New Roman" w:hAnsi="Cambria" w:cs="Arial"/>
          <w:color w:val="000000"/>
          <w:sz w:val="26"/>
          <w:szCs w:val="26"/>
        </w:rPr>
        <w:t> </w:t>
      </w:r>
      <w:hyperlink r:id="rId18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Lines of Credit</w:t>
        </w:r>
      </w:hyperlink>
      <w:r w:rsidRPr="00683CA0">
        <w:rPr>
          <w:rFonts w:ascii="Cambria" w:eastAsia="Times New Roman" w:hAnsi="Cambria" w:cs="Arial"/>
          <w:color w:val="000000"/>
          <w:sz w:val="26"/>
          <w:szCs w:val="26"/>
        </w:rPr>
        <w:t>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at virtually no cost.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"</w:t>
      </w:r>
      <w:hyperlink r:id="rId19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Although they normally pay an annual fee, they pay no transactions fees, enjoy the benefit of an interest-free period and in many cases earn loyalty points for each transaction."</w:t>
        </w:r>
      </w:hyperlink>
    </w:p>
    <w:p w:rsidR="00683CA0" w:rsidRPr="00683CA0" w:rsidRDefault="00683CA0" w:rsidP="00683CA0">
      <w:pPr>
        <w:spacing w:after="0" w:line="295" w:lineRule="atLeast"/>
        <w:ind w:left="1275" w:hanging="1275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           *        </w:t>
      </w:r>
      <w:r w:rsidR="00B434CE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33% </w:t>
      </w:r>
      <w:r w:rsidRPr="00683CA0">
        <w:rPr>
          <w:rFonts w:ascii="Cambria" w:eastAsia="Times New Roman" w:hAnsi="Cambria" w:cs="Arial"/>
          <w:b/>
          <w:bCs/>
          <w:i/>
          <w:iCs/>
          <w:color w:val="000000"/>
          <w:sz w:val="26"/>
          <w:szCs w:val="26"/>
          <w:shd w:val="clear" w:color="auto" w:fill="FFFFFF"/>
        </w:rPr>
        <w:t>circa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identified by the RBA as </w:t>
      </w:r>
      <w:hyperlink r:id="rId20" w:history="1">
        <w:r w:rsidRPr="00683CA0">
          <w:rPr>
            <w:rFonts w:ascii="Cambria" w:eastAsia="Times New Roman" w:hAnsi="Cambria" w:cs="Arial"/>
            <w:b/>
            <w:bCs/>
            <w:i/>
            <w:iCs/>
            <w:color w:val="0000FF"/>
            <w:sz w:val="26"/>
            <w:szCs w:val="26"/>
            <w:u w:val="single"/>
          </w:rPr>
          <w:t>Revolvers</w:t>
        </w:r>
      </w:hyperlink>
      <w:r w:rsidRPr="00683CA0">
        <w:rPr>
          <w:rFonts w:ascii="Cambria" w:eastAsia="Times New Roman" w:hAnsi="Cambria" w:cs="Arial"/>
          <w:color w:val="000000"/>
          <w:sz w:val="26"/>
          <w:szCs w:val="26"/>
        </w:rPr>
        <w:t>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have carried (or revolve) their debt, making minimum repayments or slightly more, and thus maintain a level of continuing debt.  Due to their outstanding balances and repayment habits, </w:t>
      </w:r>
      <w:hyperlink r:id="rId21" w:history="1">
        <w:r w:rsidRPr="00683CA0">
          <w:rPr>
            <w:rFonts w:ascii="Cambria" w:eastAsia="Times New Roman" w:hAnsi="Cambria" w:cs="Arial"/>
            <w:b/>
            <w:bCs/>
            <w:i/>
            <w:iCs/>
            <w:color w:val="0000FF"/>
            <w:sz w:val="26"/>
            <w:szCs w:val="26"/>
            <w:u w:val="single"/>
          </w:rPr>
          <w:t>Revolvers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pay more interest, and have higher default rates,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whilst </w:t>
      </w:r>
      <w:hyperlink r:id="rId22" w:history="1">
        <w:r w:rsidRPr="00683CA0">
          <w:rPr>
            <w:rFonts w:ascii="Cambria" w:eastAsia="Times New Roman" w:hAnsi="Cambria" w:cs="Arial"/>
            <w:b/>
            <w:bCs/>
            <w:i/>
            <w:iCs/>
            <w:color w:val="0000FF"/>
            <w:sz w:val="26"/>
            <w:szCs w:val="26"/>
            <w:u w:val="single"/>
          </w:rPr>
          <w:t>Persistent Revolvers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that represent a mere </w:t>
      </w:r>
      <w:hyperlink r:id="rId23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12.58%</w:t>
        </w:r>
      </w:hyperlink>
      <w:r w:rsidRPr="00683CA0">
        <w:rPr>
          <w:rFonts w:ascii="Cambria" w:eastAsia="Times New Roman" w:hAnsi="Cambria" w:cs="Arial"/>
          <w:b/>
          <w:bCs/>
          <w:color w:val="292526"/>
          <w:sz w:val="26"/>
          <w:szCs w:val="26"/>
          <w:shd w:val="clear" w:color="auto" w:fill="FFFFFF"/>
        </w:rPr>
        <w:t> </w:t>
      </w:r>
      <w:r w:rsidRPr="00683CA0">
        <w:rPr>
          <w:rFonts w:ascii="Cambria" w:eastAsia="Times New Roman" w:hAnsi="Cambria" w:cs="Arial"/>
          <w:b/>
          <w:bCs/>
          <w:i/>
          <w:iCs/>
          <w:color w:val="292526"/>
          <w:sz w:val="26"/>
          <w:szCs w:val="26"/>
          <w:shd w:val="clear" w:color="auto" w:fill="FFFFFF"/>
        </w:rPr>
        <w:t>circa</w:t>
      </w:r>
      <w:r w:rsidRPr="00683CA0">
        <w:rPr>
          <w:rFonts w:ascii="Cambria" w:eastAsia="Times New Roman" w:hAnsi="Cambria" w:cs="Arial"/>
          <w:b/>
          <w:bCs/>
          <w:color w:val="292526"/>
          <w:sz w:val="26"/>
          <w:szCs w:val="26"/>
          <w:shd w:val="clear" w:color="auto" w:fill="FFFFFF"/>
        </w:rPr>
        <w:t> of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all </w:t>
      </w:r>
      <w:hyperlink r:id="rId24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Credit Cardholders</w:t>
        </w:r>
      </w:hyperlink>
      <w:r w:rsidRPr="00683CA0">
        <w:rPr>
          <w:rFonts w:ascii="Cambria" w:eastAsia="Times New Roman" w:hAnsi="Cambria" w:cs="Arial"/>
          <w:b/>
          <w:bCs/>
          <w:color w:val="292526"/>
          <w:sz w:val="26"/>
          <w:szCs w:val="26"/>
          <w:shd w:val="clear" w:color="auto" w:fill="FFFFFF"/>
        </w:rPr>
        <w:t>, </w:t>
      </w:r>
      <w:r w:rsidRPr="00683CA0">
        <w:rPr>
          <w:rFonts w:ascii="Cambria" w:eastAsia="Times New Roman" w:hAnsi="Cambria" w:cs="Arial"/>
          <w:b/>
          <w:bCs/>
          <w:color w:val="292526"/>
          <w:sz w:val="26"/>
          <w:szCs w:val="26"/>
        </w:rPr>
        <w:t>have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contributed a </w:t>
      </w:r>
      <w:r w:rsidRPr="00683CA0">
        <w:rPr>
          <w:rFonts w:ascii="Cambria" w:eastAsia="Times New Roman" w:hAnsi="Cambria" w:cs="Arial"/>
          <w:b/>
          <w:bCs/>
          <w:i/>
          <w:iCs/>
          <w:color w:val="000000"/>
          <w:sz w:val="26"/>
          <w:szCs w:val="26"/>
        </w:rPr>
        <w:t>whopping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80% </w:t>
      </w:r>
      <w:r w:rsidRPr="00683CA0">
        <w:rPr>
          <w:rFonts w:ascii="Cambria" w:eastAsia="Times New Roman" w:hAnsi="Cambria" w:cs="Arial"/>
          <w:b/>
          <w:bCs/>
          <w:i/>
          <w:iCs/>
          <w:color w:val="000000"/>
          <w:sz w:val="26"/>
          <w:szCs w:val="26"/>
        </w:rPr>
        <w:t>circa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of </w:t>
      </w:r>
      <w:hyperlink r:id="rId25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Credit Cardholders' Contribution To Credit Card Issuers Gross Revenue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, too often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suffering </w:t>
      </w:r>
      <w:r w:rsidR="00C24646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br/>
      </w:r>
      <w:bookmarkStart w:id="0" w:name="_GoBack"/>
      <w:bookmarkEnd w:id="0"/>
      <w:r w:rsidR="00D03EFB">
        <w:rPr>
          <w:rFonts w:ascii="Cambria" w:eastAsia="Times New Roman" w:hAnsi="Cambria" w:cs="Arial"/>
          <w:b/>
          <w:bCs/>
          <w:color w:val="0000FF"/>
          <w:sz w:val="26"/>
          <w:szCs w:val="26"/>
          <w:u w:val="single"/>
        </w:rPr>
        <w:fldChar w:fldCharType="begin"/>
      </w:r>
      <w:r w:rsidR="00D03EFB">
        <w:rPr>
          <w:rFonts w:ascii="Cambria" w:eastAsia="Times New Roman" w:hAnsi="Cambria" w:cs="Arial"/>
          <w:b/>
          <w:bCs/>
          <w:color w:val="0000FF"/>
          <w:sz w:val="26"/>
          <w:szCs w:val="26"/>
          <w:u w:val="single"/>
        </w:rPr>
        <w:instrText xml:space="preserve"> HYPERLINK "file:///C:\\Users\\scribepj\\AppData\\Local\\Microsoft\\Windows\\INetCache\\Content.Outlook\\DefinedTerms\\Extreme_Financial_And_Emotional_Distress.htm" </w:instrText>
      </w:r>
      <w:r w:rsidR="00D03EFB">
        <w:rPr>
          <w:rFonts w:ascii="Cambria" w:eastAsia="Times New Roman" w:hAnsi="Cambria" w:cs="Arial"/>
          <w:b/>
          <w:bCs/>
          <w:color w:val="0000FF"/>
          <w:sz w:val="26"/>
          <w:szCs w:val="26"/>
          <w:u w:val="single"/>
        </w:rPr>
        <w:fldChar w:fldCharType="separate"/>
      </w:r>
      <w:r w:rsidRPr="00683CA0">
        <w:rPr>
          <w:rFonts w:ascii="Cambria" w:eastAsia="Times New Roman" w:hAnsi="Cambria" w:cs="Arial"/>
          <w:b/>
          <w:bCs/>
          <w:color w:val="0000FF"/>
          <w:sz w:val="26"/>
          <w:szCs w:val="26"/>
          <w:u w:val="single"/>
        </w:rPr>
        <w:t>Extreme Financial And Emotional Distress</w:t>
      </w:r>
      <w:r w:rsidR="00D03EFB">
        <w:rPr>
          <w:rFonts w:ascii="Cambria" w:eastAsia="Times New Roman" w:hAnsi="Cambria" w:cs="Arial"/>
          <w:b/>
          <w:bCs/>
          <w:color w:val="0000FF"/>
          <w:sz w:val="26"/>
          <w:szCs w:val="26"/>
          <w:u w:val="single"/>
        </w:rPr>
        <w:fldChar w:fldCharType="end"/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as attested by </w:t>
      </w:r>
      <w:r w:rsidR="00C24646">
        <w:rPr>
          <w:rFonts w:ascii="Cambria" w:eastAsia="Times New Roman" w:hAnsi="Cambria" w:cs="Arial"/>
          <w:b/>
          <w:bCs/>
          <w:color w:val="000000"/>
          <w:sz w:val="26"/>
          <w:szCs w:val="26"/>
        </w:rPr>
        <w:br/>
      </w:r>
      <w:hyperlink r:id="rId26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Credit Card Distress Authorities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.</w:t>
      </w:r>
    </w:p>
    <w:p w:rsidR="00683CA0" w:rsidRPr="00683CA0" w:rsidRDefault="00683CA0" w:rsidP="00683CA0">
      <w:pPr>
        <w:spacing w:before="120" w:after="90" w:line="240" w:lineRule="auto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Yet the RBA did not recommend to the Federal Govt to re-legislate </w:t>
      </w:r>
      <w:hyperlink r:id="rId27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a maximum interest rate on Credit Cards that had been 18% until April 1985</w:t>
        </w:r>
      </w:hyperlink>
      <w:hyperlink r:id="rId28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.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The </w:t>
      </w:r>
      <w:hyperlink r:id="rId29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Overnight Cash Rate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fell from </w:t>
      </w:r>
      <w:hyperlink r:id="rId30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18.78% in June 1985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to 0.10% in June 2020 and remained at that historic low for 18 months. 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As at April 2017</w:t>
      </w:r>
      <w:r w:rsidRPr="00683CA0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 </w:t>
      </w:r>
      <w:hyperlink r:id="rId31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the highest Purchase interest rate was 25.9% from </w:t>
        </w:r>
      </w:hyperlink>
      <w:hyperlink r:id="rId32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Lombard Visa Card Classic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and</w:t>
      </w:r>
      <w:r w:rsidRPr="00683CA0">
        <w:rPr>
          <w:rFonts w:ascii="Cambria" w:eastAsia="Times New Roman" w:hAnsi="Cambria" w:cs="Arial"/>
          <w:b/>
          <w:bCs/>
          <w:color w:val="007A87"/>
          <w:sz w:val="26"/>
          <w:szCs w:val="26"/>
          <w:shd w:val="clear" w:color="auto" w:fill="FFFFFF"/>
        </w:rPr>
        <w:t>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the</w:t>
      </w:r>
      <w:r w:rsidRPr="00683CA0">
        <w:rPr>
          <w:rFonts w:ascii="Cambria" w:eastAsia="Times New Roman" w:hAnsi="Cambria" w:cs="Arial"/>
          <w:b/>
          <w:bCs/>
          <w:color w:val="007A87"/>
          <w:sz w:val="26"/>
          <w:szCs w:val="26"/>
          <w:shd w:val="clear" w:color="auto" w:fill="FFFFFF"/>
        </w:rPr>
        <w:t> </w:t>
      </w:r>
      <w:hyperlink r:id="rId33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highest Cash Advance interest rate was 29.49% from </w:t>
        </w:r>
      </w:hyperlink>
      <w:hyperlink r:id="rId34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G.E. Money's "Go MasterCard"</w:t>
        </w:r>
      </w:hyperlink>
      <w:r w:rsidRPr="00683CA0">
        <w:rPr>
          <w:rFonts w:ascii="Cambria" w:eastAsia="Times New Roman" w:hAnsi="Cambria" w:cs="Arial"/>
          <w:color w:val="000000"/>
          <w:sz w:val="24"/>
          <w:shd w:val="clear" w:color="auto" w:fill="FFFFFF"/>
        </w:rPr>
        <w:t>.</w:t>
      </w:r>
    </w:p>
    <w:p w:rsidR="00B316EA" w:rsidRDefault="00683CA0" w:rsidP="00B316EA">
      <w:pPr>
        <w:spacing w:before="240" w:after="0" w:line="240" w:lineRule="auto"/>
        <w:textAlignment w:val="baseline"/>
        <w:outlineLvl w:val="0"/>
        <w:rPr>
          <w:rFonts w:ascii="Cambria" w:eastAsia="Times New Roman" w:hAnsi="Cambria"/>
          <w:b/>
          <w:bCs/>
          <w:color w:val="202223"/>
          <w:kern w:val="36"/>
          <w:sz w:val="26"/>
          <w:szCs w:val="26"/>
        </w:rPr>
      </w:pPr>
      <w:r w:rsidRPr="00683CA0">
        <w:rPr>
          <w:rFonts w:ascii="Cambria" w:eastAsia="Times New Roman" w:hAnsi="Cambria"/>
          <w:b/>
          <w:bCs/>
          <w:color w:val="800000"/>
          <w:kern w:val="36"/>
          <w:sz w:val="27"/>
          <w:szCs w:val="27"/>
          <w:shd w:val="clear" w:color="auto" w:fill="FFFFFF"/>
        </w:rPr>
        <w:t>QUESTION #2</w:t>
      </w:r>
      <w:r w:rsidRPr="00683CA0">
        <w:rPr>
          <w:rFonts w:ascii="Cambria" w:eastAsia="Times New Roman" w:hAnsi="Cambria"/>
          <w:b/>
          <w:bCs/>
          <w:color w:val="202223"/>
          <w:kern w:val="36"/>
          <w:sz w:val="26"/>
          <w:szCs w:val="26"/>
          <w:shd w:val="clear" w:color="auto" w:fill="FFFFFF"/>
        </w:rPr>
        <w:t>:   In order for Australia's </w:t>
      </w:r>
      <w:hyperlink r:id="rId35" w:history="1">
        <w:r w:rsidRPr="00683CA0">
          <w:rPr>
            <w:rFonts w:ascii="Cambria" w:eastAsia="Times New Roman" w:hAnsi="Cambria"/>
            <w:b/>
            <w:bCs/>
            <w:color w:val="0000FF"/>
            <w:kern w:val="36"/>
            <w:sz w:val="26"/>
            <w:szCs w:val="26"/>
            <w:u w:val="single"/>
            <w:shd w:val="clear" w:color="auto" w:fill="FFFFFF"/>
          </w:rPr>
          <w:t>Credit Card System</w:t>
        </w:r>
      </w:hyperlink>
      <w:r w:rsidRPr="00683CA0">
        <w:rPr>
          <w:rFonts w:ascii="Cambria" w:eastAsia="Times New Roman" w:hAnsi="Cambria"/>
          <w:b/>
          <w:bCs/>
          <w:color w:val="202223"/>
          <w:kern w:val="36"/>
          <w:sz w:val="26"/>
          <w:szCs w:val="26"/>
          <w:shd w:val="clear" w:color="auto" w:fill="FFFFFF"/>
        </w:rPr>
        <w:t> to apply the </w:t>
      </w:r>
      <w:hyperlink r:id="rId36" w:history="1">
        <w:r w:rsidRPr="00683CA0">
          <w:rPr>
            <w:rFonts w:ascii="Cambria" w:eastAsia="Times New Roman" w:hAnsi="Cambria"/>
            <w:b/>
            <w:bCs/>
            <w:color w:val="0000FF"/>
            <w:kern w:val="36"/>
            <w:sz w:val="26"/>
            <w:szCs w:val="26"/>
            <w:u w:val="single"/>
            <w:shd w:val="clear" w:color="auto" w:fill="FFFFFF"/>
          </w:rPr>
          <w:t>"“user pays”</w:t>
        </w:r>
      </w:hyperlink>
      <w:hyperlink r:id="rId37" w:history="1">
        <w:r w:rsidRPr="00683CA0">
          <w:rPr>
            <w:rFonts w:ascii="Cambria" w:eastAsia="Times New Roman" w:hAnsi="Cambria"/>
            <w:b/>
            <w:bCs/>
            <w:color w:val="0000FF"/>
            <w:kern w:val="36"/>
            <w:sz w:val="26"/>
            <w:szCs w:val="26"/>
            <w:u w:val="single"/>
          </w:rPr>
          <w:t> approach to credit card payment services </w:t>
        </w:r>
      </w:hyperlink>
      <w:hyperlink r:id="rId38" w:history="1">
        <w:r w:rsidRPr="00683CA0">
          <w:rPr>
            <w:rFonts w:ascii="Cambria" w:eastAsia="Times New Roman" w:hAnsi="Cambria"/>
            <w:b/>
            <w:bCs/>
            <w:color w:val="0000FF"/>
            <w:kern w:val="36"/>
            <w:sz w:val="26"/>
            <w:szCs w:val="26"/>
            <w:u w:val="single"/>
            <w:shd w:val="clear" w:color="auto" w:fill="FFFFFF"/>
          </w:rPr>
          <w:t>(that) would be consistent with the approach adopted by Australian financial institutions in pricing other payment instruments under their control"</w:t>
        </w:r>
      </w:hyperlink>
      <w:r w:rsidRPr="00683CA0">
        <w:rPr>
          <w:rFonts w:ascii="Cambria" w:eastAsia="Times New Roman" w:hAnsi="Cambria"/>
          <w:b/>
          <w:bCs/>
          <w:color w:val="202223"/>
          <w:kern w:val="36"/>
          <w:sz w:val="26"/>
          <w:szCs w:val="26"/>
          <w:shd w:val="clear" w:color="auto" w:fill="FFFFFF"/>
        </w:rPr>
        <w:t> </w:t>
      </w:r>
      <w:r w:rsidRPr="00683CA0">
        <w:rPr>
          <w:rFonts w:ascii="Cambria" w:eastAsia="Times New Roman" w:hAnsi="Cambria" w:cs="Arial"/>
          <w:b/>
          <w:bCs/>
          <w:color w:val="202223"/>
          <w:kern w:val="36"/>
          <w:sz w:val="26"/>
          <w:szCs w:val="26"/>
          <w:shd w:val="clear" w:color="auto" w:fill="FFFFFF"/>
        </w:rPr>
        <w:t>will </w:t>
      </w:r>
      <w:hyperlink r:id="rId39" w:history="1">
        <w:r w:rsidRPr="00683CA0">
          <w:rPr>
            <w:rFonts w:ascii="Cambria" w:eastAsia="Times New Roman" w:hAnsi="Cambria" w:cs="Arial"/>
            <w:b/>
            <w:bCs/>
            <w:color w:val="0000FF"/>
            <w:kern w:val="36"/>
            <w:sz w:val="26"/>
            <w:szCs w:val="26"/>
            <w:u w:val="single"/>
            <w:shd w:val="clear" w:color="auto" w:fill="FFFFFF"/>
          </w:rPr>
          <w:t>Australia's Principal Regulator of the Payments System</w:t>
        </w:r>
      </w:hyperlink>
      <w:r w:rsidRPr="00683CA0">
        <w:rPr>
          <w:rFonts w:ascii="Cambria" w:eastAsia="Times New Roman" w:hAnsi="Cambria" w:cs="Arial"/>
          <w:b/>
          <w:bCs/>
          <w:color w:val="202223"/>
          <w:kern w:val="36"/>
          <w:sz w:val="26"/>
          <w:szCs w:val="26"/>
        </w:rPr>
        <w:t> recommend </w:t>
      </w:r>
      <w:r w:rsidRPr="00683CA0">
        <w:rPr>
          <w:rFonts w:ascii="Cambria" w:eastAsia="Times New Roman" w:hAnsi="Cambria"/>
          <w:b/>
          <w:bCs/>
          <w:color w:val="202223"/>
          <w:kern w:val="36"/>
          <w:sz w:val="26"/>
          <w:szCs w:val="26"/>
          <w:shd w:val="clear" w:color="auto" w:fill="FFFFFF"/>
        </w:rPr>
        <w:t>[</w:t>
      </w:r>
      <w:r w:rsidRPr="00683CA0">
        <w:rPr>
          <w:rFonts w:ascii="Cambria" w:eastAsia="Times New Roman" w:hAnsi="Cambria" w:cs="Arial"/>
          <w:b/>
          <w:bCs/>
          <w:color w:val="202223"/>
          <w:kern w:val="36"/>
          <w:sz w:val="26"/>
          <w:szCs w:val="26"/>
          <w:shd w:val="clear" w:color="auto" w:fill="FFFFFF"/>
        </w:rPr>
        <w:t>pursuant to </w:t>
      </w:r>
      <w:hyperlink r:id="rId40" w:history="1">
        <w:r w:rsidRPr="00683CA0">
          <w:rPr>
            <w:rFonts w:ascii="Cambria" w:eastAsia="Times New Roman" w:hAnsi="Cambria" w:cs="Arial"/>
            <w:b/>
            <w:bCs/>
            <w:color w:val="0000FF"/>
            <w:kern w:val="36"/>
            <w:sz w:val="26"/>
            <w:szCs w:val="26"/>
            <w:u w:val="single"/>
            <w:shd w:val="clear" w:color="auto" w:fill="FFFFFF"/>
          </w:rPr>
          <w:t>Section 11(1) of the Reserve Bank Act 1959</w:t>
        </w:r>
      </w:hyperlink>
      <w:r w:rsidRPr="00683CA0">
        <w:rPr>
          <w:rFonts w:ascii="Cambria" w:eastAsia="Times New Roman" w:hAnsi="Cambria" w:cs="Arial"/>
          <w:b/>
          <w:bCs/>
          <w:color w:val="202223"/>
          <w:kern w:val="36"/>
          <w:sz w:val="26"/>
          <w:szCs w:val="26"/>
          <w:shd w:val="clear" w:color="auto" w:fill="FFFFFF"/>
        </w:rPr>
        <w:t>] </w:t>
      </w:r>
      <w:r w:rsidRPr="00683CA0">
        <w:rPr>
          <w:rFonts w:ascii="Cambria" w:eastAsia="Times New Roman" w:hAnsi="Cambria"/>
          <w:b/>
          <w:bCs/>
          <w:color w:val="202223"/>
          <w:kern w:val="36"/>
          <w:sz w:val="26"/>
          <w:szCs w:val="26"/>
        </w:rPr>
        <w:t xml:space="preserve">that the Federal Treasurer support the re-imposition of </w:t>
      </w:r>
    </w:p>
    <w:p w:rsidR="00B316EA" w:rsidRDefault="00B316EA">
      <w:pPr>
        <w:rPr>
          <w:rFonts w:ascii="Cambria" w:eastAsia="Times New Roman" w:hAnsi="Cambria"/>
          <w:b/>
          <w:bCs/>
          <w:color w:val="202223"/>
          <w:kern w:val="36"/>
          <w:sz w:val="26"/>
          <w:szCs w:val="26"/>
        </w:rPr>
      </w:pPr>
      <w:r>
        <w:rPr>
          <w:rFonts w:ascii="Cambria" w:eastAsia="Times New Roman" w:hAnsi="Cambria"/>
          <w:b/>
          <w:bCs/>
          <w:color w:val="202223"/>
          <w:kern w:val="36"/>
          <w:sz w:val="26"/>
          <w:szCs w:val="26"/>
        </w:rPr>
        <w:br w:type="page"/>
      </w:r>
    </w:p>
    <w:p w:rsidR="00683CA0" w:rsidRPr="00683CA0" w:rsidRDefault="00683CA0" w:rsidP="00B316EA">
      <w:pPr>
        <w:spacing w:before="240" w:after="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color w:val="202223"/>
          <w:kern w:val="36"/>
          <w:sz w:val="48"/>
          <w:szCs w:val="48"/>
        </w:rPr>
      </w:pPr>
      <w:r w:rsidRPr="00683CA0">
        <w:rPr>
          <w:rFonts w:ascii="Cambria" w:eastAsia="Times New Roman" w:hAnsi="Cambria"/>
          <w:b/>
          <w:bCs/>
          <w:color w:val="202223"/>
          <w:kern w:val="36"/>
          <w:sz w:val="26"/>
          <w:szCs w:val="26"/>
        </w:rPr>
        <w:lastRenderedPageBreak/>
        <w:t>a </w:t>
      </w:r>
      <w:r w:rsidRPr="00683CA0">
        <w:rPr>
          <w:rFonts w:ascii="Cambria" w:eastAsia="Times New Roman" w:hAnsi="Cambria"/>
          <w:b/>
          <w:bCs/>
          <w:color w:val="202223"/>
          <w:kern w:val="36"/>
          <w:sz w:val="26"/>
          <w:szCs w:val="26"/>
          <w:shd w:val="clear" w:color="auto" w:fill="FFFFFF"/>
        </w:rPr>
        <w:t>maximum interest rate on all </w:t>
      </w:r>
      <w:hyperlink r:id="rId41" w:history="1">
        <w:r w:rsidRPr="00683CA0">
          <w:rPr>
            <w:rFonts w:ascii="Cambria" w:eastAsia="Times New Roman" w:hAnsi="Cambria"/>
            <w:b/>
            <w:bCs/>
            <w:color w:val="0000FF"/>
            <w:kern w:val="36"/>
            <w:sz w:val="26"/>
            <w:szCs w:val="26"/>
            <w:u w:val="single"/>
            <w:shd w:val="clear" w:color="auto" w:fill="FFFFFF"/>
          </w:rPr>
          <w:t>Credit Cards</w:t>
        </w:r>
      </w:hyperlink>
      <w:r w:rsidRPr="00683CA0">
        <w:rPr>
          <w:rFonts w:ascii="Cambria" w:eastAsia="Times New Roman" w:hAnsi="Cambria"/>
          <w:b/>
          <w:bCs/>
          <w:color w:val="202223"/>
          <w:kern w:val="36"/>
          <w:sz w:val="26"/>
          <w:szCs w:val="26"/>
          <w:shd w:val="clear" w:color="auto" w:fill="FFFFFF"/>
        </w:rPr>
        <w:t> of -</w:t>
      </w:r>
    </w:p>
    <w:p w:rsidR="00683CA0" w:rsidRPr="00683CA0" w:rsidRDefault="00683CA0" w:rsidP="00683CA0">
      <w:pPr>
        <w:spacing w:before="15" w:after="15" w:line="240" w:lineRule="auto"/>
        <w:rPr>
          <w:rFonts w:ascii="Cambria" w:eastAsia="Times New Roman" w:hAnsi="Cambria"/>
          <w:color w:val="000000"/>
          <w:sz w:val="26"/>
          <w:szCs w:val="26"/>
        </w:rPr>
      </w:pPr>
      <w:r w:rsidRPr="00683CA0">
        <w:rPr>
          <w:rFonts w:ascii="Cambria" w:eastAsia="Times New Roman" w:hAnsi="Cambria"/>
          <w:b/>
          <w:bCs/>
          <w:color w:val="000000"/>
          <w:sz w:val="26"/>
          <w:szCs w:val="26"/>
          <w:shd w:val="clear" w:color="auto" w:fill="FFFFFF"/>
        </w:rPr>
        <w:t>1.       </w:t>
      </w:r>
      <w:r w:rsidRPr="00683CA0">
        <w:rPr>
          <w:rFonts w:ascii="Cambria" w:eastAsia="Times New Roman" w:hAnsi="Cambria"/>
          <w:b/>
          <w:bCs/>
          <w:color w:val="000000"/>
          <w:sz w:val="26"/>
          <w:szCs w:val="26"/>
        </w:rPr>
        <w:t>850 basis points </w:t>
      </w:r>
      <w:r w:rsidRPr="00683CA0">
        <w:rPr>
          <w:rFonts w:ascii="Cambria" w:eastAsia="Times New Roman" w:hAnsi="Cambria"/>
          <w:b/>
          <w:bCs/>
          <w:i/>
          <w:iCs/>
          <w:color w:val="000000"/>
          <w:sz w:val="26"/>
          <w:szCs w:val="26"/>
        </w:rPr>
        <w:t>circa </w:t>
      </w:r>
      <w:r w:rsidRPr="00683CA0">
        <w:rPr>
          <w:rFonts w:ascii="Cambria" w:eastAsia="Times New Roman" w:hAnsi="Cambria"/>
          <w:b/>
          <w:bCs/>
          <w:color w:val="000000"/>
          <w:sz w:val="26"/>
          <w:szCs w:val="26"/>
          <w:shd w:val="clear" w:color="auto" w:fill="FFFFFF"/>
        </w:rPr>
        <w:t>for </w:t>
      </w:r>
      <w:hyperlink r:id="rId42" w:history="1">
        <w:r w:rsidRPr="00683CA0">
          <w:rPr>
            <w:rFonts w:ascii="Cambria" w:eastAsia="Times New Roman" w:hAnsi="Cambria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Purchases</w:t>
        </w:r>
      </w:hyperlink>
      <w:r w:rsidRPr="00683CA0">
        <w:rPr>
          <w:rFonts w:ascii="Cambria" w:eastAsia="Times New Roman" w:hAnsi="Cambria"/>
          <w:b/>
          <w:bCs/>
          <w:color w:val="000000"/>
          <w:sz w:val="26"/>
          <w:szCs w:val="26"/>
        </w:rPr>
        <w:t>; and</w:t>
      </w:r>
    </w:p>
    <w:p w:rsidR="00683CA0" w:rsidRPr="00683CA0" w:rsidRDefault="00683CA0" w:rsidP="00683CA0">
      <w:pPr>
        <w:spacing w:before="15" w:after="15" w:line="240" w:lineRule="auto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2.       950 basis points </w:t>
      </w:r>
      <w:r w:rsidRPr="00683CA0">
        <w:rPr>
          <w:rFonts w:ascii="Cambria" w:eastAsia="Times New Roman" w:hAnsi="Cambria" w:cs="Arial"/>
          <w:b/>
          <w:bCs/>
          <w:i/>
          <w:iCs/>
          <w:color w:val="000000"/>
          <w:sz w:val="26"/>
          <w:szCs w:val="26"/>
        </w:rPr>
        <w:t>circa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for </w:t>
      </w:r>
      <w:hyperlink r:id="rId43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Cash Advances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,</w:t>
      </w:r>
    </w:p>
    <w:p w:rsidR="00683CA0" w:rsidRPr="00683CA0" w:rsidRDefault="00683CA0" w:rsidP="00683CA0">
      <w:pPr>
        <w:spacing w:before="15" w:after="75" w:line="240" w:lineRule="auto"/>
        <w:rPr>
          <w:rFonts w:ascii="Cambria" w:eastAsia="Times New Roman" w:hAnsi="Cambria"/>
          <w:color w:val="000000"/>
          <w:sz w:val="26"/>
          <w:szCs w:val="26"/>
        </w:rPr>
      </w:pPr>
      <w:r w:rsidRPr="00683CA0">
        <w:rPr>
          <w:rFonts w:ascii="Cambria" w:eastAsia="Times New Roman" w:hAnsi="Cambria"/>
          <w:b/>
          <w:bCs/>
          <w:color w:val="000000"/>
          <w:sz w:val="26"/>
          <w:szCs w:val="26"/>
        </w:rPr>
        <w:t>above the RBA official interest rate (</w:t>
      </w:r>
      <w:hyperlink r:id="rId44" w:history="1">
        <w:r w:rsidRPr="00683CA0">
          <w:rPr>
            <w:rFonts w:ascii="Cambria" w:eastAsia="Times New Roman" w:hAnsi="Cambria"/>
            <w:b/>
            <w:bCs/>
            <w:color w:val="0000FF"/>
            <w:sz w:val="26"/>
            <w:szCs w:val="26"/>
            <w:u w:val="single"/>
          </w:rPr>
          <w:t>Overnight Cash Rate</w:t>
        </w:r>
      </w:hyperlink>
      <w:r w:rsidRPr="00683CA0">
        <w:rPr>
          <w:rFonts w:ascii="Cambria" w:eastAsia="Times New Roman" w:hAnsi="Cambria"/>
          <w:b/>
          <w:bCs/>
          <w:color w:val="000000"/>
          <w:sz w:val="26"/>
          <w:szCs w:val="26"/>
        </w:rPr>
        <w:t>)</w:t>
      </w:r>
      <w:r w:rsidRPr="00683CA0">
        <w:rPr>
          <w:rFonts w:ascii="Cambria" w:eastAsia="Times New Roman" w:hAnsi="Cambria"/>
          <w:b/>
          <w:bCs/>
          <w:color w:val="000000"/>
          <w:sz w:val="26"/>
          <w:szCs w:val="26"/>
          <w:shd w:val="clear" w:color="auto" w:fill="FFFFFF"/>
        </w:rPr>
        <w:t> for each Credit Card issued subsequent to the imposition of the above sought new maximum interest rates.</w:t>
      </w:r>
    </w:p>
    <w:p w:rsidR="00683CA0" w:rsidRPr="00683CA0" w:rsidRDefault="00683CA0" w:rsidP="00683CA0">
      <w:pPr>
        <w:spacing w:after="75" w:line="240" w:lineRule="auto"/>
        <w:rPr>
          <w:rFonts w:ascii="Cambria" w:eastAsia="Times New Roman" w:hAnsi="Cambria"/>
          <w:color w:val="000000"/>
          <w:sz w:val="26"/>
          <w:szCs w:val="26"/>
        </w:rPr>
      </w:pPr>
      <w:r w:rsidRPr="00683CA0">
        <w:rPr>
          <w:rFonts w:ascii="Cambria" w:eastAsia="Times New Roman" w:hAnsi="Cambria"/>
          <w:b/>
          <w:bCs/>
          <w:color w:val="000000"/>
          <w:sz w:val="26"/>
          <w:szCs w:val="26"/>
          <w:shd w:val="clear" w:color="auto" w:fill="FFFFFF"/>
        </w:rPr>
        <w:t>Due to the lower interest profit margin, </w:t>
      </w:r>
      <w:hyperlink r:id="rId45" w:history="1">
        <w:r w:rsidRPr="00683CA0">
          <w:rPr>
            <w:rFonts w:ascii="Cambria" w:eastAsia="Times New Roman" w:hAnsi="Cambria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Credit Card Issuers</w:t>
        </w:r>
      </w:hyperlink>
      <w:r w:rsidRPr="00683CA0">
        <w:rPr>
          <w:rFonts w:ascii="Cambria" w:eastAsia="Times New Roman" w:hAnsi="Cambria"/>
          <w:b/>
          <w:bCs/>
          <w:color w:val="000000"/>
          <w:sz w:val="26"/>
          <w:szCs w:val="26"/>
          <w:shd w:val="clear" w:color="auto" w:fill="FFFFFF"/>
        </w:rPr>
        <w:t> and </w:t>
      </w:r>
      <w:hyperlink r:id="rId46" w:history="1">
        <w:r w:rsidRPr="00683CA0">
          <w:rPr>
            <w:rFonts w:ascii="Cambria" w:eastAsia="Times New Roman" w:hAnsi="Cambria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Credit Rating Bodies</w:t>
        </w:r>
      </w:hyperlink>
      <w:r w:rsidRPr="00683CA0">
        <w:rPr>
          <w:rFonts w:ascii="Cambria" w:eastAsia="Times New Roman" w:hAnsi="Cambria"/>
          <w:b/>
          <w:bCs/>
          <w:color w:val="000000"/>
          <w:sz w:val="26"/>
          <w:szCs w:val="26"/>
          <w:shd w:val="clear" w:color="auto" w:fill="FFFFFF"/>
        </w:rPr>
        <w:t> would need to be diligent when appraising the </w:t>
      </w:r>
      <w:hyperlink r:id="rId47" w:history="1">
        <w:r w:rsidRPr="00683CA0">
          <w:rPr>
            <w:rFonts w:ascii="Cambria" w:eastAsia="Times New Roman" w:hAnsi="Cambria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Credit Report</w:t>
        </w:r>
      </w:hyperlink>
      <w:r w:rsidRPr="00683CA0">
        <w:rPr>
          <w:rFonts w:ascii="Cambria" w:eastAsia="Times New Roman" w:hAnsi="Cambria"/>
          <w:b/>
          <w:bCs/>
          <w:color w:val="000000"/>
          <w:sz w:val="26"/>
          <w:szCs w:val="26"/>
          <w:shd w:val="clear" w:color="auto" w:fill="FFFFFF"/>
        </w:rPr>
        <w:t> / </w:t>
      </w:r>
      <w:hyperlink r:id="rId48" w:history="1">
        <w:r w:rsidRPr="00683CA0">
          <w:rPr>
            <w:rFonts w:ascii="Cambria" w:eastAsia="Times New Roman" w:hAnsi="Cambria"/>
            <w:b/>
            <w:bCs/>
            <w:color w:val="0000FF"/>
            <w:sz w:val="26"/>
            <w:szCs w:val="26"/>
            <w:u w:val="single"/>
          </w:rPr>
          <w:t>Credit Score</w:t>
        </w:r>
      </w:hyperlink>
      <w:r w:rsidRPr="00683CA0">
        <w:rPr>
          <w:rFonts w:eastAsia="Times New Roman" w:cs="Arial"/>
          <w:b/>
          <w:bCs/>
          <w:color w:val="000000"/>
          <w:sz w:val="26"/>
          <w:szCs w:val="26"/>
        </w:rPr>
        <w:t> </w:t>
      </w:r>
      <w:r w:rsidRPr="00683CA0">
        <w:rPr>
          <w:rFonts w:ascii="Cambria" w:eastAsia="Times New Roman" w:hAnsi="Cambria"/>
          <w:b/>
          <w:bCs/>
          <w:color w:val="000000"/>
          <w:sz w:val="26"/>
          <w:szCs w:val="26"/>
          <w:shd w:val="clear" w:color="auto" w:fill="FFFFFF"/>
        </w:rPr>
        <w:t>of each applicant for a new Credit Card.</w:t>
      </w:r>
    </w:p>
    <w:p w:rsidR="00683CA0" w:rsidRPr="00683CA0" w:rsidRDefault="00683CA0" w:rsidP="000260F9">
      <w:pPr>
        <w:spacing w:before="100" w:after="135" w:line="240" w:lineRule="auto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The above two interest rates are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slightly lower </w:t>
      </w:r>
      <w:hyperlink r:id="rId49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than the 10% </w:t>
        </w:r>
        <w:r w:rsidRPr="00683CA0">
          <w:rPr>
            <w:rFonts w:ascii="Cambria" w:eastAsia="Times New Roman" w:hAnsi="Cambria" w:cs="Arial"/>
            <w:b/>
            <w:bCs/>
            <w:i/>
            <w:iCs/>
            <w:color w:val="0000FF"/>
            <w:sz w:val="26"/>
            <w:szCs w:val="26"/>
            <w:u w:val="single"/>
          </w:rPr>
          <w:t>Cap</w:t>
        </w:r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 requested by CHOICE on 17 June 2020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when the </w:t>
      </w:r>
      <w:hyperlink r:id="rId50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Overnight Cash Rate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was 0.10%. 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Section 8 of the </w:t>
      </w:r>
      <w:hyperlink r:id="rId51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shd w:val="clear" w:color="auto" w:fill="FFFFFF"/>
            <w:lang w:val="en-AU"/>
          </w:rPr>
          <w:t>Writer's comprehensive letter</w:t>
        </w:r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 to </w:t>
        </w:r>
      </w:hyperlink>
      <w:hyperlink r:id="rId52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Ms. Sharon van Etten at the RBA dated </w:t>
        </w:r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8 Dec 2011</w:t>
        </w:r>
      </w:hyperlink>
      <w:r w:rsidRPr="00683CA0">
        <w:rPr>
          <w:rFonts w:ascii="Cambria" w:eastAsia="Times New Roman" w:hAnsi="Cambria" w:cs="Arial"/>
          <w:color w:val="000000"/>
          <w:sz w:val="26"/>
          <w:szCs w:val="26"/>
        </w:rPr>
        <w:t>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requested application of the above two interest rate </w:t>
      </w:r>
      <w:r w:rsidRPr="00683CA0">
        <w:rPr>
          <w:rFonts w:ascii="Cambria" w:eastAsia="Times New Roman" w:hAnsi="Cambria" w:cs="Arial"/>
          <w:b/>
          <w:bCs/>
          <w:i/>
          <w:iCs/>
          <w:color w:val="000000"/>
          <w:sz w:val="26"/>
          <w:szCs w:val="26"/>
          <w:shd w:val="clear" w:color="auto" w:fill="FFFFFF"/>
        </w:rPr>
        <w:t>Caps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.  It contained seven other recommended changes to better apply the </w:t>
      </w:r>
      <w:hyperlink r:id="rId53" w:history="1">
        <w:r w:rsidRPr="00683CA0">
          <w:rPr>
            <w:rFonts w:ascii="Cambria" w:eastAsia="Times New Roman" w:hAnsi="Cambria" w:cs="Arial"/>
            <w:b/>
            <w:bCs/>
            <w:i/>
            <w:iCs/>
            <w:color w:val="0000FF"/>
            <w:sz w:val="26"/>
            <w:szCs w:val="26"/>
            <w:u w:val="single"/>
            <w:shd w:val="clear" w:color="auto" w:fill="FFFFFF"/>
          </w:rPr>
          <w:t>User Pays Principle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.  Adopting some of the other seven, if not all, would further evidence the </w:t>
      </w:r>
      <w:hyperlink r:id="rId54" w:history="1">
        <w:r w:rsidRPr="00683CA0">
          <w:rPr>
            <w:rFonts w:ascii="Cambria" w:eastAsia="Times New Roman" w:hAnsi="Cambria" w:cs="Arial"/>
            <w:b/>
            <w:bCs/>
            <w:i/>
            <w:iCs/>
            <w:color w:val="0000FF"/>
            <w:sz w:val="26"/>
            <w:szCs w:val="26"/>
            <w:u w:val="single"/>
            <w:shd w:val="clear" w:color="auto" w:fill="FFFFFF"/>
          </w:rPr>
          <w:t>User Pays Principle</w:t>
        </w:r>
      </w:hyperlink>
      <w:r w:rsidRPr="00683CA0">
        <w:rPr>
          <w:rFonts w:ascii="Cambria" w:eastAsia="Times New Roman" w:hAnsi="Cambria" w:cs="Arial"/>
          <w:b/>
          <w:bCs/>
          <w:i/>
          <w:iCs/>
          <w:color w:val="000000"/>
          <w:sz w:val="26"/>
          <w:szCs w:val="26"/>
          <w:shd w:val="clear" w:color="auto" w:fill="FFFFFF"/>
        </w:rPr>
        <w:t>, 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because as </w:t>
      </w:r>
      <w:hyperlink r:id="rId55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acknowledged by the RBA at point 5 of </w:t>
        </w:r>
      </w:hyperlink>
      <w:hyperlink r:id="rId56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RBA's "I A Consultation Document" – Dec 2001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presently </w:t>
      </w:r>
      <w:hyperlink r:id="rId57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67% of Credit Cardholders 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do not contribute to </w:t>
      </w:r>
      <w:hyperlink r:id="rId58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revenues received by Credit Card Issuers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 leaving a considerable burden upon </w:t>
      </w:r>
      <w:hyperlink r:id="rId59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12.58% </w:t>
        </w:r>
        <w:r w:rsidRPr="00683CA0">
          <w:rPr>
            <w:rFonts w:ascii="Cambria" w:eastAsia="Times New Roman" w:hAnsi="Cambria" w:cs="Arial"/>
            <w:b/>
            <w:bCs/>
            <w:i/>
            <w:iCs/>
            <w:color w:val="0000FF"/>
            <w:sz w:val="26"/>
            <w:szCs w:val="26"/>
            <w:u w:val="single"/>
            <w:shd w:val="clear" w:color="auto" w:fill="FFFFFF"/>
          </w:rPr>
          <w:t>circa</w:t>
        </w:r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 of remaining Credit Cardholders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683CA0" w:rsidRPr="00683CA0" w:rsidRDefault="00683CA0" w:rsidP="00B316EA">
      <w:pPr>
        <w:spacing w:before="240" w:after="30" w:line="240" w:lineRule="auto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800000"/>
          <w:sz w:val="27"/>
          <w:szCs w:val="27"/>
          <w:shd w:val="clear" w:color="auto" w:fill="FFFFFF"/>
        </w:rPr>
        <w:t>QUESTION 3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:   </w:t>
      </w:r>
      <w:r w:rsidR="00B85935">
        <w:rPr>
          <w:rFonts w:ascii="Cambria" w:hAnsi="Cambria"/>
          <w:b/>
          <w:bCs/>
          <w:sz w:val="26"/>
          <w:szCs w:val="26"/>
          <w:shd w:val="clear" w:color="auto" w:fill="FFFFFF"/>
        </w:rPr>
        <w:t>P</w:t>
      </w:r>
      <w:r w:rsidR="00B85935">
        <w:rPr>
          <w:rFonts w:ascii="Cambria" w:hAnsi="Cambria" w:cs="Arial"/>
          <w:b/>
          <w:bCs/>
          <w:sz w:val="26"/>
          <w:szCs w:val="26"/>
          <w:shd w:val="clear" w:color="auto" w:fill="FFFFFF"/>
        </w:rPr>
        <w:t xml:space="preserve">ursuant to </w:t>
      </w:r>
      <w:hyperlink r:id="rId60" w:history="1">
        <w:r w:rsidR="00B85935">
          <w:rPr>
            <w:rStyle w:val="Hyperlink"/>
            <w:rFonts w:ascii="Cambria" w:hAnsi="Cambria" w:cs="Arial"/>
            <w:b/>
            <w:bCs/>
            <w:sz w:val="26"/>
            <w:szCs w:val="26"/>
            <w:shd w:val="clear" w:color="auto" w:fill="FFFFFF"/>
          </w:rPr>
          <w:t>Section 11(1) of the Reserve Bank Act 1959</w:t>
        </w:r>
      </w:hyperlink>
      <w:r w:rsidR="00B85935">
        <w:rPr>
          <w:rFonts w:ascii="Cambria" w:hAnsi="Cambria" w:cs="Arial"/>
          <w:b/>
          <w:bCs/>
          <w:sz w:val="26"/>
          <w:szCs w:val="26"/>
          <w:shd w:val="clear" w:color="auto" w:fill="FFFFFF"/>
        </w:rPr>
        <w:t xml:space="preserve"> w</w:t>
      </w:r>
      <w:r w:rsidR="00B85935">
        <w:rPr>
          <w:rFonts w:ascii="Cambria" w:hAnsi="Cambria"/>
          <w:b/>
          <w:bCs/>
          <w:sz w:val="26"/>
          <w:szCs w:val="26"/>
          <w:shd w:val="clear" w:color="auto" w:fill="FFFFFF"/>
        </w:rPr>
        <w:t xml:space="preserve">hy didn't </w:t>
      </w:r>
      <w:hyperlink r:id="rId61" w:history="1">
        <w:r w:rsidR="00B85935">
          <w:rPr>
            <w:rStyle w:val="Hyperlink"/>
            <w:rFonts w:ascii="Cambria" w:hAnsi="Cambria"/>
            <w:b/>
            <w:bCs/>
            <w:sz w:val="26"/>
            <w:szCs w:val="26"/>
            <w:shd w:val="clear" w:color="auto" w:fill="FFFFFF"/>
          </w:rPr>
          <w:t>Australia's Principal Regulator of the Payments System</w:t>
        </w:r>
      </w:hyperlink>
      <w:r w:rsidR="00B85935">
        <w:rPr>
          <w:rFonts w:ascii="Cambria" w:hAnsi="Cambria"/>
          <w:b/>
          <w:bCs/>
          <w:sz w:val="26"/>
          <w:szCs w:val="26"/>
          <w:shd w:val="clear" w:color="auto" w:fill="FFFFFF"/>
        </w:rPr>
        <w:t xml:space="preserve"> recommend to the Federal Treasurer (at least 15 years earlier) the below three of the nine </w:t>
      </w:r>
      <w:r w:rsidR="00B85935">
        <w:rPr>
          <w:rFonts w:ascii="Cambria" w:hAnsi="Cambria"/>
          <w:b/>
          <w:bCs/>
          <w:i/>
          <w:iCs/>
          <w:sz w:val="26"/>
          <w:szCs w:val="26"/>
          <w:shd w:val="clear" w:color="auto" w:fill="FFFFFF"/>
        </w:rPr>
        <w:t>'requirements'</w:t>
      </w:r>
      <w:r w:rsidR="00B85935">
        <w:rPr>
          <w:rFonts w:ascii="Cambria" w:hAnsi="Cambria"/>
          <w:b/>
          <w:bCs/>
          <w:sz w:val="26"/>
          <w:szCs w:val="26"/>
          <w:shd w:val="clear" w:color="auto" w:fill="FFFFFF"/>
        </w:rPr>
        <w:t xml:space="preserve"> that were imposed upon all </w:t>
      </w:r>
      <w:hyperlink r:id="rId62" w:history="1">
        <w:r w:rsidR="00B85935">
          <w:rPr>
            <w:rStyle w:val="Hyperlink"/>
            <w:rFonts w:ascii="Cambria" w:hAnsi="Cambria"/>
            <w:b/>
            <w:bCs/>
            <w:sz w:val="26"/>
            <w:szCs w:val="26"/>
            <w:shd w:val="clear" w:color="auto" w:fill="FFFFFF"/>
          </w:rPr>
          <w:t>Credit Card Issuers</w:t>
        </w:r>
      </w:hyperlink>
      <w:r w:rsidR="00B85935">
        <w:rPr>
          <w:rFonts w:ascii="Cambria" w:hAnsi="Cambria"/>
          <w:b/>
          <w:bCs/>
          <w:sz w:val="26"/>
          <w:szCs w:val="26"/>
          <w:shd w:val="clear" w:color="auto" w:fill="FFFFFF"/>
        </w:rPr>
        <w:t xml:space="preserve"> by the </w:t>
      </w:r>
      <w:hyperlink r:id="rId63" w:history="1">
        <w:r w:rsidR="00B85935">
          <w:rPr>
            <w:rStyle w:val="Hyperlink"/>
            <w:rFonts w:ascii="Cambria" w:hAnsi="Cambria"/>
            <w:b/>
            <w:bCs/>
            <w:color w:val="006AB5"/>
            <w:sz w:val="26"/>
            <w:szCs w:val="26"/>
          </w:rPr>
          <w:t>ABA's Banking Code of Prac</w:t>
        </w:r>
        <w:r w:rsidR="00B85935">
          <w:rPr>
            <w:rStyle w:val="Hyperlink"/>
            <w:rFonts w:ascii="Cambria" w:hAnsi="Cambria"/>
            <w:b/>
            <w:bCs/>
            <w:color w:val="008080"/>
            <w:sz w:val="26"/>
            <w:szCs w:val="26"/>
          </w:rPr>
          <w:t>tic</w:t>
        </w:r>
      </w:hyperlink>
      <w:hyperlink r:id="rId64" w:history="1">
        <w:r w:rsidR="00B85935">
          <w:rPr>
            <w:rStyle w:val="Hyperlink"/>
            <w:rFonts w:ascii="Cambria" w:hAnsi="Cambria"/>
            <w:b/>
            <w:bCs/>
            <w:color w:val="008080"/>
            <w:sz w:val="26"/>
            <w:szCs w:val="26"/>
          </w:rPr>
          <w:t xml:space="preserve">e - </w:t>
        </w:r>
      </w:hyperlink>
      <w:r w:rsidR="00B85935">
        <w:rPr>
          <w:rFonts w:ascii="Cambria" w:hAnsi="Cambria"/>
          <w:b/>
          <w:bCs/>
          <w:color w:val="008080"/>
          <w:sz w:val="26"/>
          <w:szCs w:val="26"/>
        </w:rPr>
        <w:t>Setting the standards of practice for banks, their staff and their representatives</w:t>
      </w:r>
      <w:r w:rsidR="00B85935">
        <w:rPr>
          <w:rFonts w:ascii="Cambria" w:hAnsi="Cambria"/>
          <w:b/>
          <w:bCs/>
          <w:sz w:val="26"/>
          <w:szCs w:val="26"/>
          <w:shd w:val="clear" w:color="auto" w:fill="FFFFFF"/>
        </w:rPr>
        <w:t xml:space="preserve"> (binding from 1 July 2019) be imposed by the RBA at least 15 years earlier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:</w:t>
      </w:r>
    </w:p>
    <w:p w:rsidR="00683CA0" w:rsidRPr="00683CA0" w:rsidRDefault="00683CA0" w:rsidP="000260F9">
      <w:pPr>
        <w:spacing w:after="15" w:line="240" w:lineRule="auto"/>
        <w:ind w:left="540" w:hanging="540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 xml:space="preserve">1.    </w:t>
      </w:r>
      <w:r w:rsidR="000260F9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 xml:space="preserve"> 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No longer charging interest (at the </w:t>
      </w:r>
      <w:hyperlink r:id="rId65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Purchase Interest Rate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) retrospectively on the total amount of </w:t>
      </w:r>
      <w:hyperlink r:id="rId66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Purchases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during the previous month if the </w:t>
      </w:r>
      <w:hyperlink r:id="rId67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Total Amount Owing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-</w:t>
      </w:r>
    </w:p>
    <w:p w:rsidR="00683CA0" w:rsidRPr="00683CA0" w:rsidRDefault="00683CA0" w:rsidP="00B316EA">
      <w:pPr>
        <w:spacing w:after="0" w:line="240" w:lineRule="auto"/>
        <w:ind w:left="1080" w:hanging="1080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 xml:space="preserve">        </w:t>
      </w:r>
      <w:r w:rsidR="000260F9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 xml:space="preserve"> 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*        was not paid by the </w:t>
      </w:r>
      <w:hyperlink r:id="rId68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Payment Due Date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</w:t>
      </w:r>
      <w:r w:rsidR="00B316EA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 xml:space="preserve">but some of the </w:t>
      </w:r>
      <w:r w:rsidR="00B316EA">
        <w:rPr>
          <w:rFonts w:ascii="Cambria" w:eastAsia="Times New Roman" w:hAnsi="Cambria" w:cs="Arial"/>
          <w:b/>
          <w:bCs/>
          <w:color w:val="000000"/>
          <w:sz w:val="26"/>
          <w:szCs w:val="26"/>
        </w:rPr>
        <w:br/>
      </w:r>
      <w:hyperlink r:id="rId69" w:history="1">
        <w:r w:rsidR="00B316EA"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</w:rPr>
          <w:t>Total Amount Owing</w:t>
        </w:r>
      </w:hyperlink>
      <w:r w:rsidR="00B316EA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 xml:space="preserve"> was paid by the </w:t>
      </w:r>
      <w:hyperlink r:id="rId70" w:history="1">
        <w:r w:rsidR="00B316EA"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Payment Due Date</w:t>
        </w:r>
      </w:hyperlink>
    </w:p>
    <w:p w:rsidR="00683CA0" w:rsidRPr="00683CA0" w:rsidRDefault="00683CA0" w:rsidP="00683CA0">
      <w:pPr>
        <w:spacing w:after="0" w:line="240" w:lineRule="auto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    </w:t>
      </w:r>
      <w:r w:rsidR="000260F9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 xml:space="preserve"> 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  *        was paid </w:t>
      </w:r>
      <w:r w:rsidRPr="00683CA0">
        <w:rPr>
          <w:rFonts w:ascii="Cambria" w:eastAsia="Times New Roman" w:hAnsi="Cambria" w:cs="Arial"/>
          <w:b/>
          <w:bCs/>
          <w:i/>
          <w:iCs/>
          <w:color w:val="000000"/>
          <w:sz w:val="26"/>
          <w:szCs w:val="26"/>
        </w:rPr>
        <w:t>in toto,</w:t>
      </w:r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 but a day or more after the </w:t>
      </w:r>
      <w:hyperlink r:id="rId71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Payment Due Date</w:t>
        </w:r>
      </w:hyperlink>
      <w:r w:rsidRPr="00683CA0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683CA0" w:rsidRPr="00683CA0" w:rsidRDefault="00683CA0" w:rsidP="00683CA0">
      <w:pPr>
        <w:spacing w:before="45" w:after="60" w:line="240" w:lineRule="auto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111111"/>
          <w:sz w:val="26"/>
          <w:szCs w:val="26"/>
          <w:lang w:val="en-AU"/>
        </w:rPr>
        <w:t>2.    A ban on unsolicited offers to increase a Credit Cardholder's </w:t>
      </w:r>
      <w:hyperlink r:id="rId72" w:history="1">
        <w:r w:rsidRPr="00683CA0">
          <w:rPr>
            <w:rFonts w:ascii="Cambria" w:eastAsia="Times New Roman" w:hAnsi="Cambria" w:cs="Arial"/>
            <w:b/>
            <w:bCs/>
            <w:color w:val="0000FF"/>
            <w:sz w:val="26"/>
            <w:szCs w:val="26"/>
            <w:u w:val="single"/>
            <w:lang w:val="en-AU"/>
          </w:rPr>
          <w:t>Card Limit</w:t>
        </w:r>
      </w:hyperlink>
      <w:r w:rsidRPr="00683CA0">
        <w:rPr>
          <w:rFonts w:ascii="Cambria" w:eastAsia="Times New Roman" w:hAnsi="Cambria" w:cs="Arial"/>
          <w:b/>
          <w:bCs/>
          <w:color w:val="111111"/>
          <w:sz w:val="26"/>
          <w:szCs w:val="26"/>
          <w:lang w:val="en-AU"/>
        </w:rPr>
        <w:t>.</w:t>
      </w:r>
    </w:p>
    <w:p w:rsidR="00683CA0" w:rsidRPr="00683CA0" w:rsidRDefault="00683CA0" w:rsidP="00683CA0">
      <w:pPr>
        <w:spacing w:before="30" w:after="240" w:line="240" w:lineRule="auto"/>
        <w:rPr>
          <w:rFonts w:eastAsia="Times New Roman" w:cs="Arial"/>
          <w:color w:val="000000"/>
          <w:sz w:val="27"/>
          <w:szCs w:val="27"/>
        </w:rPr>
      </w:pPr>
      <w:r w:rsidRPr="00683CA0">
        <w:rPr>
          <w:rFonts w:ascii="Cambria" w:eastAsia="Times New Roman" w:hAnsi="Cambria" w:cs="Arial"/>
          <w:b/>
          <w:bCs/>
          <w:color w:val="111111"/>
          <w:sz w:val="26"/>
          <w:szCs w:val="26"/>
          <w:lang w:val="en-AU"/>
        </w:rPr>
        <w:t>3.    Making it much simpler for a Credit Cardholder to cancel their Credit Card.</w:t>
      </w:r>
    </w:p>
    <w:p w:rsidR="0067749D" w:rsidRDefault="0067749D"/>
    <w:sectPr w:rsidR="0067749D" w:rsidSect="00B316EA">
      <w:headerReference w:type="default" r:id="rId73"/>
      <w:headerReference w:type="first" r:id="rId7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FB" w:rsidRDefault="00D03EFB" w:rsidP="00B316EA">
      <w:pPr>
        <w:spacing w:after="0" w:line="240" w:lineRule="auto"/>
      </w:pPr>
      <w:r>
        <w:separator/>
      </w:r>
    </w:p>
  </w:endnote>
  <w:endnote w:type="continuationSeparator" w:id="0">
    <w:p w:rsidR="00D03EFB" w:rsidRDefault="00D03EFB" w:rsidP="00B3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FB" w:rsidRDefault="00D03EFB" w:rsidP="00B316EA">
      <w:pPr>
        <w:spacing w:after="0" w:line="240" w:lineRule="auto"/>
      </w:pPr>
      <w:r>
        <w:separator/>
      </w:r>
    </w:p>
  </w:footnote>
  <w:footnote w:type="continuationSeparator" w:id="0">
    <w:p w:rsidR="00D03EFB" w:rsidRDefault="00D03EFB" w:rsidP="00B3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7817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16EA" w:rsidRDefault="00B316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6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6EA" w:rsidRDefault="00B316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EA" w:rsidRDefault="00B316EA">
    <w:pPr>
      <w:pStyle w:val="Header"/>
    </w:pPr>
  </w:p>
  <w:p w:rsidR="00B316EA" w:rsidRDefault="00B316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A0"/>
    <w:rsid w:val="000260F9"/>
    <w:rsid w:val="00036D7F"/>
    <w:rsid w:val="00084050"/>
    <w:rsid w:val="0067749D"/>
    <w:rsid w:val="00683CA0"/>
    <w:rsid w:val="00B316EA"/>
    <w:rsid w:val="00B434CE"/>
    <w:rsid w:val="00B85935"/>
    <w:rsid w:val="00C24646"/>
    <w:rsid w:val="00D03EFB"/>
    <w:rsid w:val="00D4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2976A-CC3B-4AE1-B94B-C67103E0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3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CA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83CA0"/>
    <w:rPr>
      <w:color w:val="0000FF"/>
      <w:u w:val="single"/>
    </w:rPr>
  </w:style>
  <w:style w:type="character" w:customStyle="1" w:styleId="style5">
    <w:name w:val="style5"/>
    <w:basedOn w:val="DefaultParagraphFont"/>
    <w:rsid w:val="00683CA0"/>
  </w:style>
  <w:style w:type="paragraph" w:styleId="NormalWeb">
    <w:name w:val="Normal (Web)"/>
    <w:basedOn w:val="Normal"/>
    <w:uiPriority w:val="99"/>
    <w:semiHidden/>
    <w:unhideWhenUsed/>
    <w:rsid w:val="00683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83CA0"/>
    <w:rPr>
      <w:b/>
      <w:bCs/>
    </w:rPr>
  </w:style>
  <w:style w:type="character" w:customStyle="1" w:styleId="tgc">
    <w:name w:val="_tgc"/>
    <w:basedOn w:val="DefaultParagraphFont"/>
    <w:rsid w:val="00683CA0"/>
  </w:style>
  <w:style w:type="paragraph" w:styleId="Header">
    <w:name w:val="header"/>
    <w:basedOn w:val="Normal"/>
    <w:link w:val="HeaderChar"/>
    <w:uiPriority w:val="99"/>
    <w:unhideWhenUsed/>
    <w:rsid w:val="00B3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EA"/>
  </w:style>
  <w:style w:type="paragraph" w:styleId="Footer">
    <w:name w:val="footer"/>
    <w:basedOn w:val="Normal"/>
    <w:link w:val="FooterChar"/>
    <w:uiPriority w:val="99"/>
    <w:unhideWhenUsed/>
    <w:rsid w:val="00B3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cribepj\AppData\Local\Microsoft\Windows\INetCache\Content.Outlook\DefinedTerms\User_Pays_Principle.htm" TargetMode="External"/><Relationship Id="rId18" Type="http://schemas.openxmlformats.org/officeDocument/2006/relationships/hyperlink" Target="file:///C:\Users\scribepj\AppData\Local\Microsoft\Windows\INetCache\Content.Outlook\DefinedTerms\Line_Of_Credit.htm" TargetMode="External"/><Relationship Id="rId26" Type="http://schemas.openxmlformats.org/officeDocument/2006/relationships/hyperlink" Target="file:///C:\Users\scribepj\AppData\Local\Microsoft\Windows\INetCache\Content.Outlook\DefinedTerms\CreditCardDistressAuthorities.htm" TargetMode="External"/><Relationship Id="rId39" Type="http://schemas.openxmlformats.org/officeDocument/2006/relationships/hyperlink" Target="file:///C:\Users\scribepj\AppData\Local\Microsoft\Windows\INetCache\Content.Outlook\DefinedTerms\Parliamentary_Bestowed_Mandate.htm" TargetMode="External"/><Relationship Id="rId21" Type="http://schemas.openxmlformats.org/officeDocument/2006/relationships/hyperlink" Target="file:///C:\Users\scribepj\AppData\Local\Microsoft\Windows\INetCache\Content.Outlook\Class_Actions\Transactors_and_Revolvers.htm" TargetMode="External"/><Relationship Id="rId34" Type="http://schemas.openxmlformats.org/officeDocument/2006/relationships/hyperlink" Target="file:///C:\Users\scribepj\AppData\Local\Microsoft\Windows\INetCache\Content.Outlook\DefinedTerms\HighestInterestRateCreditCards.htm" TargetMode="External"/><Relationship Id="rId42" Type="http://schemas.openxmlformats.org/officeDocument/2006/relationships/hyperlink" Target="file:///C:\Users\scribepj\AppData\Local\Microsoft\Windows\INetCache\Content.Outlook\DefinedTerms\Purchase.htm" TargetMode="External"/><Relationship Id="rId47" Type="http://schemas.openxmlformats.org/officeDocument/2006/relationships/hyperlink" Target="file:///C:\Users\scribepj\AppData\Local\Microsoft\Windows\INetCache\Content.Outlook\DefinedTerms\Credit_Report.htm" TargetMode="External"/><Relationship Id="rId50" Type="http://schemas.openxmlformats.org/officeDocument/2006/relationships/hyperlink" Target="file:///C:\Users\scribepj\AppData\Local\Microsoft\Windows\INetCache\Content.Outlook\DefinedTerms\Cash_Rate.htm" TargetMode="External"/><Relationship Id="rId55" Type="http://schemas.openxmlformats.org/officeDocument/2006/relationships/hyperlink" Target="file:///C:\Users\scribepj\AppData\Local\Microsoft\Windows\INetCache\Content.Outlook\RBA\ConsultatiionDocument2001\Executive_Summary__Reform_of_CreditCardSchemes.htm" TargetMode="External"/><Relationship Id="rId63" Type="http://schemas.openxmlformats.org/officeDocument/2006/relationships/hyperlink" Target="file:///F:\Documents\My%20Web%20Sites\Muggaccinos\CreditCards\ABA\2021-Code-A4-Booklet-with-COVID-19-Special-Note-Web.pdf" TargetMode="External"/><Relationship Id="rId68" Type="http://schemas.openxmlformats.org/officeDocument/2006/relationships/hyperlink" Target="file:///C:\Users\scribepj\AppData\Local\Microsoft\Windows\INetCache\Content.Outlook\DefinedTerms\Payment_Due_Date.htm" TargetMode="External"/><Relationship Id="rId76" Type="http://schemas.openxmlformats.org/officeDocument/2006/relationships/theme" Target="theme/theme1.xml"/><Relationship Id="rId7" Type="http://schemas.openxmlformats.org/officeDocument/2006/relationships/hyperlink" Target="file:///C:\Users\scribepj\AppData\Local\Microsoft\Windows\INetCache\Content.Outlook\DefinedTerms\Credit_Cards.htm" TargetMode="External"/><Relationship Id="rId71" Type="http://schemas.openxmlformats.org/officeDocument/2006/relationships/hyperlink" Target="file:///C:\Users\scribepj\AppData\Local\Microsoft\Windows\INetCache\Content.Outlook\DefinedTerms\Payment_Due_Date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cribepj\AppData\Local\Microsoft\Windows\INetCache\Content.Outlook\DefinedTerms\Credit_Cardholders.htm" TargetMode="External"/><Relationship Id="rId29" Type="http://schemas.openxmlformats.org/officeDocument/2006/relationships/hyperlink" Target="file:///C:\Users\scribepj\AppData\Local\Microsoft\Windows\INetCache\Content.Outlook\DefinedTerms\Cash_Rate.htm" TargetMode="External"/><Relationship Id="rId11" Type="http://schemas.openxmlformats.org/officeDocument/2006/relationships/hyperlink" Target="file:///C:\Users\scribepj\AppData\Local\Microsoft\Windows\INetCache\Content.Outlook\DefinedTerms\Balance_Transfer.htm" TargetMode="External"/><Relationship Id="rId24" Type="http://schemas.openxmlformats.org/officeDocument/2006/relationships/hyperlink" Target="file:///C:\Users\scribepj\AppData\Local\Microsoft\Windows\INetCache\Content.Outlook\DefinedTerms\Credit_Cardholders.htm" TargetMode="External"/><Relationship Id="rId32" Type="http://schemas.openxmlformats.org/officeDocument/2006/relationships/hyperlink" Target="file:///C:\Users\scribepj\AppData\Local\Microsoft\Windows\INetCache\Content.Outlook\DefinedTerms\HighestInterestRateCreditCards.htm" TargetMode="External"/><Relationship Id="rId37" Type="http://schemas.openxmlformats.org/officeDocument/2006/relationships/hyperlink" Target="file:///C:\Users\scribepj\AppData\Local\Microsoft\Windows\INetCache\Content.Outlook\RBA\Consultation_Document_14-Dec-2001.htm" TargetMode="External"/><Relationship Id="rId40" Type="http://schemas.openxmlformats.org/officeDocument/2006/relationships/hyperlink" Target="file:///C:\Users\scribepj\AppData\Local\Microsoft\Windows\INetCache\Content.Outlook\RBA\Sect_11_Reserve_Bank_Act_1959.htm" TargetMode="External"/><Relationship Id="rId45" Type="http://schemas.openxmlformats.org/officeDocument/2006/relationships/hyperlink" Target="file:///C:\Users\scribepj\AppData\Local\Microsoft\Windows\INetCache\Content.Outlook\DefinedTerms\Credit_Card_Issuer.htm" TargetMode="External"/><Relationship Id="rId53" Type="http://schemas.openxmlformats.org/officeDocument/2006/relationships/hyperlink" Target="file:///C:\Users\scribepj\AppData\Local\Microsoft\Windows\INetCache\Content.Outlook\DefinedTerms\User_Pays_Principle.htm" TargetMode="External"/><Relationship Id="rId58" Type="http://schemas.openxmlformats.org/officeDocument/2006/relationships/hyperlink" Target="file:///C:\Users\scribepj\AppData\Local\Microsoft\Windows\INetCache\Content.Outlook\DefinedTerms\CreditCardholdersContributionToGrossRevenue.htm" TargetMode="External"/><Relationship Id="rId66" Type="http://schemas.openxmlformats.org/officeDocument/2006/relationships/hyperlink" Target="file:///C:\Users\scribepj\AppData\Local\Microsoft\Windows\INetCache\Content.Outlook\DefinedTerms\Purchase.htm" TargetMode="External"/><Relationship Id="rId7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file:///F:\Documents\My%20Web%20Sites\Muggaccinos\CreditCards\DefinedTerms\Retail_Supply_Side.htm" TargetMode="External"/><Relationship Id="rId23" Type="http://schemas.openxmlformats.org/officeDocument/2006/relationships/hyperlink" Target="file:///C:\Users\scribepj\AppData\Local\Microsoft\Windows\INetCache\Content.Outlook\Actions\CreditCardStatistics_4-May-17.xls" TargetMode="External"/><Relationship Id="rId28" Type="http://schemas.openxmlformats.org/officeDocument/2006/relationships/hyperlink" Target="file:///C:\Users\scribepj\AppData\Local\Microsoft\Windows\INetCache\Content.Outlook\RBA\Price_stickness_in_credit_card_interest_rates.htm" TargetMode="External"/><Relationship Id="rId36" Type="http://schemas.openxmlformats.org/officeDocument/2006/relationships/hyperlink" Target="file:///C:\Users\scribepj\AppData\Local\Microsoft\Windows\INetCache\Content.Outlook\RBA\Consultation_Document_14-Dec-2001.htm" TargetMode="External"/><Relationship Id="rId49" Type="http://schemas.openxmlformats.org/officeDocument/2006/relationships/hyperlink" Target="file:///C:\Users\scribepj\AppData\Local\Microsoft\Windows\INetCache\Content.Outlook\Choice\10_costliest_credit_cards_in_Aust.htm" TargetMode="External"/><Relationship Id="rId57" Type="http://schemas.openxmlformats.org/officeDocument/2006/relationships/hyperlink" Target="file:///C:\Users\scribepj\AppData\Local\Microsoft\Windows\INetCache\Content.Outlook\Actions\Transactors_and_Revolvers.htm" TargetMode="External"/><Relationship Id="rId61" Type="http://schemas.openxmlformats.org/officeDocument/2006/relationships/hyperlink" Target="file:///F:\Documents\My%20Web%20Sites\Muggaccinos\CreditCards\DefinedTerms\Parliamentary_Bestowed_Mandate.htm" TargetMode="External"/><Relationship Id="rId10" Type="http://schemas.openxmlformats.org/officeDocument/2006/relationships/hyperlink" Target="file:///C:\Users\scribepj\AppData\Local\Microsoft\Windows\INetCache\Content.Outlook\DefinedTerms\Financial_Literacy.htm" TargetMode="External"/><Relationship Id="rId19" Type="http://schemas.openxmlformats.org/officeDocument/2006/relationships/hyperlink" Target="file:///C:\Users\scribepj\AppData\Local\Microsoft\Windows\INetCache\Content.Outlook\RBA\ConsultatiionDocument2001\Executive_Summary__Reform_of_CreditCardSchemes.htm" TargetMode="External"/><Relationship Id="rId31" Type="http://schemas.openxmlformats.org/officeDocument/2006/relationships/hyperlink" Target="file:///C:\Users\scribepj\AppData\Local\Microsoft\Windows\INetCache\Content.Outlook\DefinedTerms\HighestInterestRateCreditCards.htm" TargetMode="External"/><Relationship Id="rId44" Type="http://schemas.openxmlformats.org/officeDocument/2006/relationships/hyperlink" Target="file:///C:\Users\scribepj\AppData\Local\Microsoft\Windows\INetCache\Content.Outlook\DefinedTerms\Cash_Rate.htm" TargetMode="External"/><Relationship Id="rId52" Type="http://schemas.openxmlformats.org/officeDocument/2006/relationships/hyperlink" Target="file:///C:\Users\scribepj\AppData\Local\Microsoft\Windows\INetCache\Content.Outlook\RBA\Comms\Response_to_RBA_8_Dec_11b.htm" TargetMode="External"/><Relationship Id="rId60" Type="http://schemas.openxmlformats.org/officeDocument/2006/relationships/hyperlink" Target="file:///F:\Documents\My%20Web%20Sites\Muggaccinos\CreditCards\RBA\Sect_11_Reserve_Bank_Act_1959.htm" TargetMode="External"/><Relationship Id="rId65" Type="http://schemas.openxmlformats.org/officeDocument/2006/relationships/hyperlink" Target="file:///C:\Users\scribepj\AppData\Local\Microsoft\Windows\INetCache\Content.Outlook\DefinedTerms\Purchase_Interest_Rate.htm" TargetMode="External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scribepj\AppData\Local\Microsoft\Windows\INetCache\Content.Outlook\DefinedTerms\Financially_Uneducated_And_Vulnerable.htm" TargetMode="External"/><Relationship Id="rId14" Type="http://schemas.openxmlformats.org/officeDocument/2006/relationships/hyperlink" Target="file:///C:\Users\scribepj\AppData\Local\Microsoft\Windows\INetCache\Content.Outlook\DefinedTerms\Credit_Card_Products.htm" TargetMode="External"/><Relationship Id="rId22" Type="http://schemas.openxmlformats.org/officeDocument/2006/relationships/hyperlink" Target="file:///C:\Users\scribepj\AppData\Local\Microsoft\Windows\INetCache\Content.Outlook\Class_Actions\Persistent_Revolvers.htm" TargetMode="External"/><Relationship Id="rId27" Type="http://schemas.openxmlformats.org/officeDocument/2006/relationships/hyperlink" Target="file:///C:\Users\scribepj\AppData\Local\Microsoft\Windows\INetCache\Content.Outlook\RBA\Price_stickness_in_credit_card_interest_rates.htm" TargetMode="External"/><Relationship Id="rId30" Type="http://schemas.openxmlformats.org/officeDocument/2006/relationships/hyperlink" Target="file:///C:\Users\scribepj\AppData\Local\Microsoft\Windows\INetCache\Content.Outlook\RBA\3-22a.xls" TargetMode="External"/><Relationship Id="rId35" Type="http://schemas.openxmlformats.org/officeDocument/2006/relationships/hyperlink" Target="file:///C:\Users\scribepj\AppData\Local\Microsoft\Windows\INetCache\Content.Outlook\DefinedTerms\Credit_Card_System.htm" TargetMode="External"/><Relationship Id="rId43" Type="http://schemas.openxmlformats.org/officeDocument/2006/relationships/hyperlink" Target="file:///C:\Users\scribepj\AppData\Local\Microsoft\Windows\INetCache\Content.Outlook\DefinedTerms\Cash_Advance.htm" TargetMode="External"/><Relationship Id="rId48" Type="http://schemas.openxmlformats.org/officeDocument/2006/relationships/hyperlink" Target="file:///C:\Users\scribepj\AppData\Local\Microsoft\Windows\INetCache\Content.Outlook\DefinedTerms\Credit_Score.htm" TargetMode="External"/><Relationship Id="rId56" Type="http://schemas.openxmlformats.org/officeDocument/2006/relationships/hyperlink" Target="file:///C:\Users\scribepj\AppData\Local\Microsoft\Windows\INetCache\Content.Outlook\RBA\ConsultatiionDocument2001\Executive_Summary__Reform_of_CreditCardSchemes.htm" TargetMode="External"/><Relationship Id="rId64" Type="http://schemas.openxmlformats.org/officeDocument/2006/relationships/hyperlink" Target="file:///F:\Documents\My%20Web%20Sites\Muggaccinos\CreditCards\ABA\2021-Code-A4-Booklet-with-COVID-19-Special-Note-Web.pdf" TargetMode="External"/><Relationship Id="rId69" Type="http://schemas.openxmlformats.org/officeDocument/2006/relationships/hyperlink" Target="file:///C:\Users\scribepj\AppData\Local\Microsoft\Windows\INetCache\Content.Outlook\DefinedTerms\Outstanding_Indebtedness.htm" TargetMode="External"/><Relationship Id="rId8" Type="http://schemas.openxmlformats.org/officeDocument/2006/relationships/hyperlink" Target="file:///C:\Users\scribepj\AppData\Local\Microsoft\Windows\INetCache\Content.Outlook\DefinedTerms\Credit_Card_Issuer.htm" TargetMode="External"/><Relationship Id="rId51" Type="http://schemas.openxmlformats.org/officeDocument/2006/relationships/hyperlink" Target="file:///C:\Users\scribepj\AppData\Local\Microsoft\Windows\INetCache\Content.Outlook\RBA\Comms\Response_to_RBA_8_Dec_11b.htm" TargetMode="External"/><Relationship Id="rId72" Type="http://schemas.openxmlformats.org/officeDocument/2006/relationships/hyperlink" Target="file:///C:\Users\scribepj\AppData\Local\Microsoft\Windows\INetCache\Content.Outlook\DefinedTerms\Card_Limit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scribepj\AppData\Local\Microsoft\Windows\INetCache\Content.Outlook\DefinedTerms\Interest_And_Penalty_Fees_Revenue.htm" TargetMode="External"/><Relationship Id="rId17" Type="http://schemas.openxmlformats.org/officeDocument/2006/relationships/hyperlink" Target="file:///C:\Users\scribepj\AppData\Local\Microsoft\Windows\INetCache\Content.Outlook\Class_Actions\Transactors_and_Revolvers.htm" TargetMode="External"/><Relationship Id="rId25" Type="http://schemas.openxmlformats.org/officeDocument/2006/relationships/hyperlink" Target="file:///C:\Users\scribepj\AppData\Local\Microsoft\Windows\INetCache\Content.Outlook\DefinedTerms\CreditCardholdersContributionToGrossRevenue.htm" TargetMode="External"/><Relationship Id="rId33" Type="http://schemas.openxmlformats.org/officeDocument/2006/relationships/hyperlink" Target="file:///C:\Users\scribepj\AppData\Local\Microsoft\Windows\INetCache\Content.Outlook\DefinedTerms\HighestInterestRateCreditCards.htm" TargetMode="External"/><Relationship Id="rId38" Type="http://schemas.openxmlformats.org/officeDocument/2006/relationships/hyperlink" Target="file:///C:\Users\scribepj\AppData\Local\Microsoft\Windows\INetCache\Content.Outlook\RBA\Consultation_Document_14-Dec-2001.htm" TargetMode="External"/><Relationship Id="rId46" Type="http://schemas.openxmlformats.org/officeDocument/2006/relationships/hyperlink" Target="file:///C:\Users\scribepj\AppData\Local\Microsoft\Windows\INetCache\Content.Outlook\DefinedTerms\Credit_Reporting_Bodies.htm" TargetMode="External"/><Relationship Id="rId59" Type="http://schemas.openxmlformats.org/officeDocument/2006/relationships/hyperlink" Target="file:///C:\Users\scribepj\AppData\Local\Microsoft\Windows\INetCache\Content.Outlook\Actions\Persistent_Revolvers.htm" TargetMode="External"/><Relationship Id="rId67" Type="http://schemas.openxmlformats.org/officeDocument/2006/relationships/hyperlink" Target="file:///C:\Users\scribepj\AppData\Local\Microsoft\Windows\INetCache\Content.Outlook\DefinedTerms\Outstanding_Indebtedness.htm" TargetMode="External"/><Relationship Id="rId20" Type="http://schemas.openxmlformats.org/officeDocument/2006/relationships/hyperlink" Target="file:///C:\Users\scribepj\AppData\Local\Microsoft\Windows\INetCache\Content.Outlook\Class_Actions\Transactors_and_Revolvers.htm" TargetMode="External"/><Relationship Id="rId41" Type="http://schemas.openxmlformats.org/officeDocument/2006/relationships/hyperlink" Target="file:///C:\Users\scribepj\AppData\Local\Microsoft\Windows\INetCache\Content.Outlook\DefinedTerms\Credit_Cards.htm" TargetMode="External"/><Relationship Id="rId54" Type="http://schemas.openxmlformats.org/officeDocument/2006/relationships/hyperlink" Target="file:///C:\Users\scribepj\AppData\Local\Microsoft\Windows\INetCache\Content.Outlook\DefinedTerms\User_Pays_Principle.htm" TargetMode="External"/><Relationship Id="rId62" Type="http://schemas.openxmlformats.org/officeDocument/2006/relationships/hyperlink" Target="file:///F:\Documents\My%20Web%20Sites\Muggaccinos\CreditCards\DefinedTerms\Credit_Card_Issuer.htm" TargetMode="External"/><Relationship Id="rId70" Type="http://schemas.openxmlformats.org/officeDocument/2006/relationships/hyperlink" Target="file:///C:\Users\scribepj\AppData\Local\Microsoft\Windows\INetCache\Content.Outlook\DefinedTerms\Payment_Due_Date.ht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scribepj\AppData\Local\Microsoft\Windows\INetCache\Content.Outlook\DefinedTerms\PredatorySaleOfAFinancialProduc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2022-09-11T08:03:00Z</cp:lastPrinted>
  <dcterms:created xsi:type="dcterms:W3CDTF">2022-09-11T08:03:00Z</dcterms:created>
  <dcterms:modified xsi:type="dcterms:W3CDTF">2022-09-11T08:13:00Z</dcterms:modified>
</cp:coreProperties>
</file>