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A1" w:rsidRDefault="00F977A1" w:rsidP="00F977A1">
      <w:pPr>
        <w:pStyle w:val="NormalWeb"/>
        <w:spacing w:before="195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Attachment 2</w:t>
      </w:r>
    </w:p>
    <w:p w:rsidR="00FB671D" w:rsidRPr="00F977A1" w:rsidRDefault="00FB671D" w:rsidP="00FB671D">
      <w:pPr>
        <w:pStyle w:val="NormalWeb"/>
        <w:spacing w:before="195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F977A1">
        <w:rPr>
          <w:rFonts w:ascii="Arial" w:hAnsi="Arial" w:cs="Arial"/>
          <w:b/>
          <w:color w:val="000000"/>
          <w:sz w:val="26"/>
          <w:szCs w:val="26"/>
        </w:rPr>
        <w:t>Parliamentary Acts and MoU's</w:t>
      </w:r>
    </w:p>
    <w:p w:rsidR="00FB671D" w:rsidRPr="00F977A1" w:rsidRDefault="00FB671D" w:rsidP="00FB671D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*          </w:t>
      </w: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  <w:shd w:val="clear" w:color="auto" w:fill="FFFFFF"/>
          </w:rPr>
          <w:t>Banking Act 1959</w:t>
        </w:r>
      </w:hyperlink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  -  </w:t>
      </w:r>
      <w:r>
        <w:rPr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0563C1"/>
            <w:u w:val="none"/>
          </w:rPr>
          <w:t>Banking Act 1959</w:t>
        </w:r>
      </w:hyperlink>
      <w:r>
        <w:rPr>
          <w:rFonts w:ascii="Arial" w:hAnsi="Arial" w:cs="Arial"/>
          <w:b/>
          <w:bCs/>
          <w:i/>
          <w:iCs/>
          <w:color w:val="000000"/>
        </w:rPr>
        <w:t>  </w:t>
      </w:r>
      <w:r>
        <w:rPr>
          <w:b/>
          <w:bCs/>
          <w:color w:val="000000"/>
        </w:rPr>
        <w:t>(222 pgs)</w:t>
      </w: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*          </w:t>
      </w:r>
      <w:hyperlink r:id="rId6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Reserve Bank Act 1959</w:t>
        </w:r>
      </w:hyperlink>
      <w:r>
        <w:rPr>
          <w:rFonts w:ascii="Arial" w:hAnsi="Arial" w:cs="Arial"/>
          <w:b/>
          <w:bCs/>
          <w:i/>
          <w:iCs/>
          <w:color w:val="000000"/>
        </w:rPr>
        <w:t>  -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  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fldChar w:fldCharType="begin"/>
      </w:r>
      <w:r>
        <w:rPr>
          <w:rFonts w:ascii="Arial" w:hAnsi="Arial" w:cs="Arial"/>
          <w:b/>
          <w:bCs/>
          <w:i/>
          <w:iCs/>
          <w:color w:val="000000"/>
        </w:rPr>
        <w:instrText xml:space="preserve"> HYPERLINK "http://www.austlii.edu.au/au/legis/cth/consol_act/rba1959130/s11.html" </w:instrText>
      </w:r>
      <w:r>
        <w:rPr>
          <w:rFonts w:ascii="Arial" w:hAnsi="Arial" w:cs="Arial"/>
          <w:b/>
          <w:bCs/>
          <w:i/>
          <w:iCs/>
          <w:color w:val="000000"/>
        </w:rPr>
        <w:fldChar w:fldCharType="separate"/>
      </w:r>
      <w:r>
        <w:rPr>
          <w:rStyle w:val="Hyperlink"/>
          <w:rFonts w:ascii="Arial" w:hAnsi="Arial" w:cs="Arial"/>
          <w:b/>
          <w:bCs/>
          <w:i/>
          <w:iCs/>
          <w:color w:val="0563C1"/>
          <w:u w:val="none"/>
        </w:rPr>
        <w:t>Reserve Bank Act 1959</w:t>
      </w:r>
      <w:r>
        <w:rPr>
          <w:rFonts w:ascii="Arial" w:hAnsi="Arial" w:cs="Arial"/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  <w:b/>
          <w:bCs/>
          <w:i/>
          <w:iCs/>
          <w:color w:val="000000"/>
        </w:rPr>
        <w:t>  </w:t>
      </w:r>
      <w:r>
        <w:rPr>
          <w:b/>
          <w:bCs/>
          <w:color w:val="000000"/>
        </w:rPr>
        <w:t>(57 pgs)</w:t>
      </w: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*          </w:t>
      </w:r>
      <w:hyperlink r:id="rId7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Payment Systems (Regulation) Act 1998</w:t>
        </w:r>
      </w:hyperlink>
      <w:r>
        <w:rPr>
          <w:rFonts w:ascii="Arial" w:hAnsi="Arial" w:cs="Arial"/>
          <w:b/>
          <w:bCs/>
          <w:color w:val="000000"/>
        </w:rPr>
        <w:t>  -</w:t>
      </w:r>
      <w:proofErr w:type="gramStart"/>
      <w:r>
        <w:rPr>
          <w:rFonts w:ascii="Arial" w:hAnsi="Arial" w:cs="Arial"/>
          <w:b/>
          <w:bCs/>
          <w:color w:val="000000"/>
        </w:rPr>
        <w:t>  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fldChar w:fldCharType="begin"/>
      </w:r>
      <w:r>
        <w:rPr>
          <w:rFonts w:ascii="Arial" w:hAnsi="Arial" w:cs="Arial"/>
          <w:b/>
          <w:bCs/>
          <w:i/>
          <w:iCs/>
          <w:color w:val="000000"/>
        </w:rPr>
        <w:instrText xml:space="preserve"> HYPERLINK "https://www.legislation.gov.au/Details/C2016C00591" </w:instrText>
      </w:r>
      <w:r>
        <w:rPr>
          <w:rFonts w:ascii="Arial" w:hAnsi="Arial" w:cs="Arial"/>
          <w:b/>
          <w:bCs/>
          <w:i/>
          <w:iCs/>
          <w:color w:val="000000"/>
        </w:rPr>
        <w:fldChar w:fldCharType="separate"/>
      </w:r>
      <w:r>
        <w:rPr>
          <w:rStyle w:val="Hyperlink"/>
          <w:rFonts w:ascii="Arial" w:hAnsi="Arial" w:cs="Arial"/>
          <w:b/>
          <w:bCs/>
          <w:i/>
          <w:iCs/>
          <w:color w:val="0563C1"/>
          <w:u w:val="none"/>
        </w:rPr>
        <w:t>Payment Systems Board Act 1998</w:t>
      </w:r>
      <w:r>
        <w:rPr>
          <w:rFonts w:ascii="Arial" w:hAnsi="Arial" w:cs="Arial"/>
          <w:b/>
          <w:bCs/>
          <w:i/>
          <w:iCs/>
          <w:color w:val="000000"/>
        </w:rPr>
        <w:fldChar w:fldCharType="end"/>
      </w:r>
      <w:r>
        <w:rPr>
          <w:rFonts w:ascii="Arial" w:hAnsi="Arial" w:cs="Arial"/>
          <w:b/>
          <w:bCs/>
          <w:i/>
          <w:iCs/>
          <w:color w:val="000000"/>
        </w:rPr>
        <w:t>  </w:t>
      </w:r>
      <w:r>
        <w:rPr>
          <w:b/>
          <w:bCs/>
          <w:color w:val="000000"/>
        </w:rPr>
        <w:t>(33 pages)</w:t>
      </w: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*          </w:t>
      </w:r>
      <w:hyperlink r:id="rId8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  <w:shd w:val="clear" w:color="auto" w:fill="FFFFFF"/>
          </w:rPr>
          <w:t>APRA Act 1998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 -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> 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00"/>
          <w:shd w:val="clear" w:color="auto" w:fill="FFFFFF"/>
        </w:rPr>
        <w:instrText xml:space="preserve"> HYPERLINK "https://www.legislation.gov.au/Details/C2018C00058" </w:instrText>
      </w:r>
      <w:r>
        <w:rPr>
          <w:rFonts w:ascii="Arial" w:hAnsi="Arial" w:cs="Arial"/>
          <w:b/>
          <w:bCs/>
          <w:color w:val="000000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i/>
          <w:iCs/>
          <w:u w:val="none"/>
          <w:shd w:val="clear" w:color="auto" w:fill="FFFFFF"/>
        </w:rPr>
        <w:t>APRA Act 1998</w:t>
      </w:r>
      <w:r>
        <w:rPr>
          <w:rFonts w:ascii="Arial" w:hAnsi="Arial" w:cs="Arial"/>
          <w:b/>
          <w:bCs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b/>
          <w:bCs/>
          <w:color w:val="000000"/>
          <w:shd w:val="clear" w:color="auto" w:fill="FFFFFF"/>
        </w:rPr>
        <w:t>  </w:t>
      </w:r>
      <w:r>
        <w:rPr>
          <w:b/>
          <w:bCs/>
          <w:color w:val="000000"/>
        </w:rPr>
        <w:t>(72 pgs)</w:t>
      </w: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*          </w:t>
      </w:r>
      <w:hyperlink r:id="rId9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Australian Securities and Investments Commission Act 2001</w:t>
        </w:r>
      </w:hyperlink>
      <w:r>
        <w:rPr>
          <w:rFonts w:ascii="Arial" w:hAnsi="Arial" w:cs="Arial"/>
          <w:b/>
          <w:bCs/>
          <w:color w:val="000000"/>
        </w:rPr>
        <w:t>  </w:t>
      </w:r>
      <w:r>
        <w:rPr>
          <w:b/>
          <w:bCs/>
          <w:color w:val="000000"/>
        </w:rPr>
        <w:t>(394 pgs)</w:t>
      </w:r>
    </w:p>
    <w:p w:rsidR="00FB671D" w:rsidRDefault="00FB671D" w:rsidP="00FB671D">
      <w:pPr>
        <w:spacing w:before="30" w:after="30"/>
        <w:rPr>
          <w:color w:val="000000"/>
        </w:rPr>
      </w:pPr>
      <w:r>
        <w:rPr>
          <w:rFonts w:ascii="Arial" w:hAnsi="Arial" w:cs="Arial"/>
          <w:color w:val="000000"/>
        </w:rPr>
        <w:t>*          </w:t>
      </w:r>
      <w:hyperlink r:id="rId10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  <w:shd w:val="clear" w:color="auto" w:fill="FFFFFF"/>
          </w:rPr>
          <w:t>Competition and Consumer Act 2010</w:t>
        </w:r>
      </w:hyperlink>
      <w:r>
        <w:rPr>
          <w:rFonts w:ascii="Arial" w:hAnsi="Arial" w:cs="Arial"/>
          <w:b/>
          <w:bCs/>
          <w:i/>
          <w:iCs/>
          <w:color w:val="000000"/>
          <w:lang w:val="en-AU"/>
        </w:rPr>
        <w:t>  </w:t>
      </w:r>
      <w:r>
        <w:rPr>
          <w:b/>
          <w:bCs/>
          <w:color w:val="000000"/>
        </w:rPr>
        <w:t>(544 pgs)</w:t>
      </w:r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*          </w:t>
      </w:r>
      <w:hyperlink r:id="rId11" w:history="1">
        <w:r>
          <w:rPr>
            <w:rStyle w:val="Hyperlink"/>
            <w:rFonts w:ascii="Arial" w:hAnsi="Arial" w:cs="Arial"/>
            <w:b/>
            <w:bCs/>
            <w:u w:val="none"/>
          </w:rPr>
          <w:t>Memorandum of Understanding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  -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>  Australian Competition and Consumer Commission and Reserve Bank of Australia </w:t>
        </w:r>
      </w:hyperlink>
      <w:hyperlink r:id="rId12" w:history="1">
        <w:r>
          <w:rPr>
            <w:rStyle w:val="Hyperlink"/>
            <w:rFonts w:ascii="Arial" w:hAnsi="Arial" w:cs="Arial"/>
            <w:u w:val="none"/>
          </w:rPr>
          <w:t>dated 8 Sept 1998</w:t>
        </w:r>
      </w:hyperlink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color w:val="0000FF"/>
        </w:rPr>
        <w:t>*          </w:t>
      </w:r>
      <w:hyperlink r:id="rId13" w:history="1">
        <w:r>
          <w:rPr>
            <w:rStyle w:val="Hyperlink"/>
            <w:rFonts w:ascii="Arial" w:hAnsi="Arial" w:cs="Arial"/>
            <w:b/>
            <w:bCs/>
            <w:u w:val="none"/>
          </w:rPr>
          <w:t>Memorandum of Understanding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  -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>  Australian Prudential Regulatory Authority and Australian Securities and Investments Commission </w:t>
        </w:r>
        <w:r>
          <w:rPr>
            <w:rStyle w:val="Hyperlink"/>
            <w:rFonts w:ascii="Arial" w:hAnsi="Arial" w:cs="Arial"/>
            <w:u w:val="none"/>
          </w:rPr>
          <w:t>dated 8 Oct 1998</w:t>
        </w:r>
      </w:hyperlink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color w:val="0000FF"/>
        </w:rPr>
        <w:t>*          </w:t>
      </w:r>
      <w:hyperlink r:id="rId14" w:history="1">
        <w:r>
          <w:rPr>
            <w:rStyle w:val="Hyperlink"/>
            <w:rFonts w:ascii="Arial" w:hAnsi="Arial" w:cs="Arial"/>
            <w:b/>
            <w:bCs/>
            <w:u w:val="none"/>
          </w:rPr>
          <w:t>Memorandum of Understanding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  -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>  Australian Prudential Regulation Authority and Reserve Bank of Australia </w:t>
        </w:r>
      </w:hyperlink>
      <w:hyperlink r:id="rId15" w:history="1">
        <w:r>
          <w:rPr>
            <w:rStyle w:val="Hyperlink"/>
            <w:rFonts w:ascii="Arial" w:hAnsi="Arial" w:cs="Arial"/>
            <w:u w:val="none"/>
          </w:rPr>
          <w:t>dated 12 October 1998</w:t>
        </w:r>
      </w:hyperlink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*          </w:t>
      </w:r>
      <w:hyperlink r:id="rId16" w:history="1">
        <w:r>
          <w:rPr>
            <w:rStyle w:val="Hyperlink"/>
            <w:rFonts w:ascii="Arial" w:hAnsi="Arial" w:cs="Arial"/>
            <w:b/>
            <w:bCs/>
            <w:u w:val="none"/>
          </w:rPr>
          <w:t>Memorandum of Understanding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  -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>  Australian Prudential Regulation Authority and Australian Competition and Consumer Commission </w:t>
        </w:r>
      </w:hyperlink>
      <w:hyperlink r:id="rId17" w:history="1">
        <w:r>
          <w:rPr>
            <w:rStyle w:val="Hyperlink"/>
            <w:rFonts w:ascii="Arial" w:hAnsi="Arial" w:cs="Arial"/>
            <w:u w:val="none"/>
          </w:rPr>
          <w:t>dated 30 November 1999</w:t>
        </w:r>
      </w:hyperlink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*          </w:t>
      </w:r>
      <w:hyperlink r:id="rId18" w:history="1">
        <w:r>
          <w:rPr>
            <w:rStyle w:val="Hyperlink"/>
            <w:rFonts w:ascii="Arial" w:hAnsi="Arial" w:cs="Arial"/>
            <w:b/>
            <w:bCs/>
            <w:u w:val="none"/>
          </w:rPr>
          <w:t>Memorandum of Understanding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  -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>  Australian Securities and Investments Commission and Reserve Bank Of Australia </w:t>
        </w:r>
        <w:r>
          <w:rPr>
            <w:rStyle w:val="Hyperlink"/>
            <w:rFonts w:ascii="Arial" w:hAnsi="Arial" w:cs="Arial"/>
            <w:u w:val="none"/>
          </w:rPr>
          <w:t>dated 18 March 2002</w:t>
        </w:r>
      </w:hyperlink>
    </w:p>
    <w:p w:rsidR="00FB671D" w:rsidRDefault="00FB671D" w:rsidP="00FB671D">
      <w:pPr>
        <w:spacing w:before="30" w:after="30"/>
        <w:ind w:left="750" w:hanging="75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*          </w:t>
      </w:r>
      <w:hyperlink r:id="rId19" w:history="1">
        <w:r>
          <w:rPr>
            <w:rStyle w:val="Hyperlink"/>
            <w:rFonts w:ascii="Arial" w:hAnsi="Arial" w:cs="Arial"/>
            <w:b/>
            <w:bCs/>
            <w:u w:val="none"/>
          </w:rPr>
          <w:t>Credit Cards Regulatory Decisions by the RBA</w:t>
        </w:r>
      </w:hyperlink>
    </w:p>
    <w:p w:rsidR="00FB671D" w:rsidRPr="00F977A1" w:rsidRDefault="00FB671D" w:rsidP="00FB671D">
      <w:pPr>
        <w:spacing w:before="200" w:after="20"/>
        <w:rPr>
          <w:b/>
          <w:color w:val="000000"/>
          <w:sz w:val="26"/>
          <w:szCs w:val="26"/>
        </w:rPr>
      </w:pPr>
      <w:bookmarkStart w:id="0" w:name="_GoBack"/>
      <w:r w:rsidRPr="00F977A1">
        <w:rPr>
          <w:rFonts w:ascii="Arial" w:hAnsi="Arial" w:cs="Arial"/>
          <w:b/>
          <w:color w:val="000000"/>
          <w:sz w:val="26"/>
          <w:szCs w:val="26"/>
        </w:rPr>
        <w:t>Primary Sections of Acts</w:t>
      </w:r>
    </w:p>
    <w:bookmarkEnd w:id="0"/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FF"/>
        </w:rPr>
        <w:t></w:t>
      </w:r>
      <w:r>
        <w:rPr>
          <w:color w:val="0000FF"/>
        </w:rPr>
        <w:t>         </w:t>
      </w:r>
      <w:hyperlink r:id="rId20" w:history="1">
        <w:r>
          <w:rPr>
            <w:rStyle w:val="Hyperlink"/>
            <w:rFonts w:ascii="Arial" w:hAnsi="Arial" w:cs="Arial"/>
            <w:b/>
            <w:bCs/>
            <w:u w:val="none"/>
          </w:rPr>
          <w:t>Section </w:t>
        </w:r>
        <w:r>
          <w:rPr>
            <w:rStyle w:val="Hyperlink"/>
            <w:rFonts w:ascii="Arial" w:hAnsi="Arial" w:cs="Arial"/>
            <w:b/>
            <w:bCs/>
            <w:u w:val="none"/>
            <w:lang w:val="en"/>
          </w:rPr>
          <w:t>50 ‘Control of interest rates’</w:t>
        </w:r>
      </w:hyperlink>
      <w:r>
        <w:rPr>
          <w:rFonts w:ascii="Arial" w:hAnsi="Arial" w:cs="Arial"/>
          <w:color w:val="0000FF"/>
          <w:lang w:val="en"/>
        </w:rPr>
        <w:t> of the </w:t>
      </w:r>
      <w:hyperlink r:id="rId21" w:history="1">
        <w:r>
          <w:rPr>
            <w:rStyle w:val="Hyperlink"/>
            <w:rFonts w:ascii="Arial" w:hAnsi="Arial" w:cs="Arial"/>
            <w:b/>
            <w:bCs/>
            <w:u w:val="none"/>
          </w:rPr>
          <w:t>Banking Act 1959</w:t>
        </w:r>
      </w:hyperlink>
    </w:p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FF"/>
        </w:rPr>
        <w:t></w:t>
      </w:r>
      <w:r>
        <w:rPr>
          <w:color w:val="0000FF"/>
        </w:rPr>
        <w:t>         </w:t>
      </w:r>
      <w:hyperlink r:id="rId22" w:history="1">
        <w:r>
          <w:rPr>
            <w:rStyle w:val="Hyperlink"/>
            <w:rFonts w:ascii="Arial" w:hAnsi="Arial" w:cs="Arial"/>
            <w:b/>
            <w:bCs/>
            <w:u w:val="none"/>
          </w:rPr>
          <w:t>Section 10(2) 'Functions of Reserve Bank Board' of Reserve Bank Act 1959</w:t>
        </w:r>
      </w:hyperlink>
    </w:p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FF"/>
        </w:rPr>
        <w:t></w:t>
      </w:r>
      <w:r>
        <w:rPr>
          <w:color w:val="0000FF"/>
        </w:rPr>
        <w:t>         </w:t>
      </w:r>
      <w:hyperlink r:id="rId23" w:history="1"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Section 11(1) ‘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  <w:lang w:val="en"/>
          </w:rPr>
          <w:t>Differences of opinion with Government on questions of policy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’ of the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br/>
          <w:t xml:space="preserve">     Reserve Bank Act 1959</w:t>
        </w:r>
      </w:hyperlink>
    </w:p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FF"/>
        </w:rPr>
        <w:t></w:t>
      </w:r>
      <w:r>
        <w:rPr>
          <w:color w:val="0000FF"/>
        </w:rPr>
        <w:t>         </w:t>
      </w:r>
      <w:hyperlink r:id="rId24" w:history="1">
        <w:r>
          <w:rPr>
            <w:rStyle w:val="Hyperlink"/>
            <w:rFonts w:ascii="Arial" w:hAnsi="Arial" w:cs="Arial"/>
            <w:b/>
            <w:bCs/>
            <w:u w:val="none"/>
          </w:rPr>
          <w:t>Division 2</w:t>
        </w:r>
        <w:r>
          <w:rPr>
            <w:rStyle w:val="Hyperlink"/>
            <w:rFonts w:ascii="Arial" w:hAnsi="Arial" w:cs="Arial"/>
            <w:u w:val="none"/>
          </w:rPr>
          <w:t>—</w:t>
        </w:r>
        <w:r>
          <w:rPr>
            <w:rStyle w:val="Hyperlink"/>
            <w:rFonts w:ascii="Arial" w:hAnsi="Arial" w:cs="Arial"/>
            <w:b/>
            <w:bCs/>
            <w:u w:val="none"/>
          </w:rPr>
          <w:t>Section 11 of the Payment Systems (Regulation) Act 1998</w:t>
        </w:r>
      </w:hyperlink>
    </w:p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FF"/>
        </w:rPr>
        <w:t></w:t>
      </w:r>
      <w:r>
        <w:rPr>
          <w:color w:val="0000FF"/>
        </w:rPr>
        <w:t>         </w:t>
      </w:r>
      <w:hyperlink r:id="rId25" w:history="1">
        <w:r>
          <w:rPr>
            <w:rStyle w:val="Hyperlink"/>
            <w:rFonts w:ascii="Arial" w:hAnsi="Arial" w:cs="Arial"/>
            <w:b/>
            <w:bCs/>
            <w:u w:val="none"/>
          </w:rPr>
          <w:t>Division 3</w:t>
        </w:r>
        <w:r>
          <w:rPr>
            <w:rStyle w:val="Hyperlink"/>
            <w:rFonts w:ascii="Arial" w:hAnsi="Arial" w:cs="Arial"/>
            <w:u w:val="none"/>
          </w:rPr>
          <w:t>—</w:t>
        </w:r>
        <w:r>
          <w:rPr>
            <w:rStyle w:val="Hyperlink"/>
            <w:rFonts w:ascii="Arial" w:hAnsi="Arial" w:cs="Arial"/>
            <w:b/>
            <w:bCs/>
            <w:u w:val="none"/>
          </w:rPr>
          <w:t>Section 12 of the Payment Systems (Regulation) Act 1998</w:t>
        </w:r>
      </w:hyperlink>
    </w:p>
    <w:p w:rsidR="00FB671D" w:rsidRDefault="00FB671D" w:rsidP="00FB671D">
      <w:pPr>
        <w:spacing w:before="30" w:after="40"/>
        <w:ind w:left="720" w:hanging="360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      </w:t>
      </w:r>
      <w:hyperlink r:id="rId26" w:history="1"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Division 4</w:t>
        </w:r>
        <w:r>
          <w:rPr>
            <w:rStyle w:val="Hyperlink"/>
            <w:rFonts w:ascii="Arial" w:hAnsi="Arial" w:cs="Arial"/>
            <w:u w:val="none"/>
            <w:shd w:val="clear" w:color="auto" w:fill="FFFFFF"/>
          </w:rPr>
          <w:t>---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Section 18</w:t>
        </w:r>
        <w:r>
          <w:rPr>
            <w:rStyle w:val="Hyperlink"/>
            <w:rFonts w:ascii="Arial" w:hAnsi="Arial" w:cs="Arial"/>
            <w:u w:val="none"/>
            <w:shd w:val="clear" w:color="auto" w:fill="FFFFFF"/>
          </w:rPr>
          <w:t> 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of the</w:t>
        </w:r>
        <w:r>
          <w:rPr>
            <w:rStyle w:val="Hyperlink"/>
            <w:rFonts w:ascii="Arial" w:hAnsi="Arial" w:cs="Arial"/>
            <w:u w:val="none"/>
            <w:shd w:val="clear" w:color="auto" w:fill="FFFFFF"/>
          </w:rPr>
          <w:t> </w:t>
        </w:r>
        <w:r>
          <w:rPr>
            <w:rStyle w:val="Hyperlink"/>
            <w:rFonts w:ascii="Arial" w:hAnsi="Arial" w:cs="Arial"/>
            <w:b/>
            <w:bCs/>
            <w:u w:val="none"/>
            <w:shd w:val="clear" w:color="auto" w:fill="FFFFFF"/>
          </w:rPr>
          <w:t>Payments System (Regulation) Act 1998</w:t>
        </w:r>
      </w:hyperlink>
    </w:p>
    <w:p w:rsidR="0067749D" w:rsidRDefault="0067749D"/>
    <w:sectPr w:rsidR="0067749D" w:rsidSect="00FB6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1D"/>
    <w:rsid w:val="0067749D"/>
    <w:rsid w:val="00960337"/>
    <w:rsid w:val="00F977A1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3B3C-76F3-4185-8CAC-D716F2F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1D"/>
    <w:pPr>
      <w:spacing w:after="0" w:line="240" w:lineRule="auto"/>
    </w:pPr>
    <w:rPr>
      <w:rFonts w:ascii="Times New Roman" w:hAnsi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7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67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cuments\My%20Web%20Sites\Muggaccinos\CreditCards\APRA\APRA_Act_1998.rtf" TargetMode="External"/><Relationship Id="rId13" Type="http://schemas.openxmlformats.org/officeDocument/2006/relationships/hyperlink" Target="file:///F:\Documents\My%20Web%20Sites\Muggaccinos\CreditCards\ASIC\MOU_ASIC-APRA_1998.htm" TargetMode="External"/><Relationship Id="rId18" Type="http://schemas.openxmlformats.org/officeDocument/2006/relationships/hyperlink" Target="file:///F:\Documents\My%20Web%20Sites\Muggaccinos\CreditCards\ASIC\Memo_Of_UnderstandingASIC_RBA.htm" TargetMode="External"/><Relationship Id="rId26" Type="http://schemas.openxmlformats.org/officeDocument/2006/relationships/hyperlink" Target="http://www.austlii.edu.au/au/legis/cth/consol_act/psa1998333/s1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7.austlii.edu.au/cgi-bin/viewdb/au/legis/cth/consol_act/ba195972/" TargetMode="External"/><Relationship Id="rId7" Type="http://schemas.openxmlformats.org/officeDocument/2006/relationships/hyperlink" Target="file:///F:\Documents\My%20Web%20Sites\Muggaccinos\CreditCards\RBA\C2016C00591.pdf" TargetMode="External"/><Relationship Id="rId12" Type="http://schemas.openxmlformats.org/officeDocument/2006/relationships/hyperlink" Target="file:///F:\Documents\My%20Web%20Sites\Muggaccinos\CreditCards\ACCC\memorandum_of_understanding.htm" TargetMode="External"/><Relationship Id="rId17" Type="http://schemas.openxmlformats.org/officeDocument/2006/relationships/hyperlink" Target="file:///F:\Documents\My%20Web%20Sites\Muggaccinos\CreditCards\APRA\MOA_APRA-ASIC_Nov%201999.htm" TargetMode="External"/><Relationship Id="rId25" Type="http://schemas.openxmlformats.org/officeDocument/2006/relationships/hyperlink" Target="http://www7.austlii.edu.au/cgi-bin/viewdoc/au/legis/cth/consol_act/psa1998333/s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Documents\My%20Web%20Sites\Muggaccinos\CreditCards\APRA\MOA_APRA-ASIC_Nov%201999.htm" TargetMode="External"/><Relationship Id="rId20" Type="http://schemas.openxmlformats.org/officeDocument/2006/relationships/hyperlink" Target="http://www7.austlii.edu.au/cgi-bin/viewdb/au/legis/cth/consol_act/ba195972/s50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Documents\My%20Web%20Sites\Muggaccinos\CreditCards\RBA\Reserve_Bank_Act_1959.pdf" TargetMode="External"/><Relationship Id="rId11" Type="http://schemas.openxmlformats.org/officeDocument/2006/relationships/hyperlink" Target="file:///F:\Documents\My%20Web%20Sites\Muggaccinos\CreditCards\ACCC\memorandum_of_understanding.htm" TargetMode="External"/><Relationship Id="rId24" Type="http://schemas.openxmlformats.org/officeDocument/2006/relationships/hyperlink" Target="http://www7.austlii.edu.au/cgi-bin/viewdoc/au/legis/cth/consol_act/psa1998333/s11.html" TargetMode="External"/><Relationship Id="rId5" Type="http://schemas.openxmlformats.org/officeDocument/2006/relationships/hyperlink" Target="http://www7.austlii.edu.au/cgi-bin/viewdb/au/legis/cth/consol_act/ba195972/" TargetMode="External"/><Relationship Id="rId15" Type="http://schemas.openxmlformats.org/officeDocument/2006/relationships/hyperlink" Target="file:///F:\Documents\My%20Web%20Sites\Muggaccinos\CreditCards\RBA\FiduciaryDuty\jmr-98-rba-apra-mou.pdf" TargetMode="External"/><Relationship Id="rId23" Type="http://schemas.openxmlformats.org/officeDocument/2006/relationships/hyperlink" Target="http://www.austlii.edu.au/au/legis/cth/consol_act/rba1959130/s1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gislation.gov.au/Details/C2017C00375" TargetMode="External"/><Relationship Id="rId19" Type="http://schemas.openxmlformats.org/officeDocument/2006/relationships/hyperlink" Target="file:///F:\Documents\My%20Web%20Sites\Muggaccinos\CreditCards\RBA\AccessRegimes\credit_cards_regulatory_decision.htm" TargetMode="External"/><Relationship Id="rId4" Type="http://schemas.openxmlformats.org/officeDocument/2006/relationships/hyperlink" Target="file:///F:\Documents\My%20Web%20Sites\Muggaccinos\CreditCards\RBA\C2016C00750-Banking_Act_1959_current_Feb-17.pdf" TargetMode="External"/><Relationship Id="rId9" Type="http://schemas.openxmlformats.org/officeDocument/2006/relationships/hyperlink" Target="file:///F:\Documents\My%20Web%20Sites\Muggaccinos\CreditCards\ASIC\asaica2001529.rtf" TargetMode="External"/><Relationship Id="rId14" Type="http://schemas.openxmlformats.org/officeDocument/2006/relationships/hyperlink" Target="file:///F:\Documents\My%20Web%20Sites\Muggaccinos\CreditCards\RBA\FiduciaryDuty\jmr-98-rba-apra-mou.pdf" TargetMode="External"/><Relationship Id="rId22" Type="http://schemas.openxmlformats.org/officeDocument/2006/relationships/hyperlink" Target="http://www7.austlii.edu.au/cgi-bin/viewdoc/au/legis/cth/consol_act/rba1959130/s1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4</cp:revision>
  <dcterms:created xsi:type="dcterms:W3CDTF">2020-06-30T08:00:00Z</dcterms:created>
  <dcterms:modified xsi:type="dcterms:W3CDTF">2020-06-30T08:01:00Z</dcterms:modified>
</cp:coreProperties>
</file>