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A8" w:rsidRPr="00F013A8" w:rsidRDefault="00F013A8" w:rsidP="00F013A8">
      <w:pPr>
        <w:pStyle w:val="NormalWeb"/>
        <w:spacing w:before="45" w:beforeAutospacing="0" w:after="15" w:afterAutospacing="0"/>
        <w:rPr>
          <w:rFonts w:ascii="Arial" w:hAnsi="Arial" w:cs="Arial"/>
        </w:rPr>
      </w:pPr>
      <w:hyperlink r:id="rId4" w:history="1">
        <w:r w:rsidRPr="00F013A8">
          <w:rPr>
            <w:rFonts w:ascii="Arial" w:hAnsi="Arial" w:cs="Arial"/>
          </w:rPr>
          <w:t>Australia's Principal Regulator of the Payments System</w:t>
        </w:r>
      </w:hyperlink>
      <w:r w:rsidRPr="00F013A8">
        <w:rPr>
          <w:rFonts w:ascii="Arial" w:hAnsi="Arial" w:cs="Arial"/>
        </w:rPr>
        <w:t xml:space="preserve"> breached its </w:t>
      </w:r>
      <w:hyperlink r:id="rId5" w:history="1">
        <w:r w:rsidRPr="00F013A8">
          <w:rPr>
            <w:rFonts w:ascii="Arial" w:hAnsi="Arial" w:cs="Arial"/>
          </w:rPr>
          <w:t>Statutory Duty</w:t>
        </w:r>
      </w:hyperlink>
      <w:r w:rsidRPr="00F013A8">
        <w:rPr>
          <w:rFonts w:ascii="Arial" w:hAnsi="Arial" w:cs="Arial"/>
        </w:rPr>
        <w:t xml:space="preserve"> to "</w:t>
      </w:r>
      <w:hyperlink r:id="rId6" w:history="1">
        <w:r w:rsidRPr="00F013A8">
          <w:rPr>
            <w:rFonts w:ascii="Arial" w:hAnsi="Arial" w:cs="Arial"/>
          </w:rPr>
          <w:t>best contribute to.......... the economic prosperity and welfare of (ALL) the people of Australia</w:t>
        </w:r>
      </w:hyperlink>
      <w:r w:rsidRPr="00F013A8">
        <w:rPr>
          <w:rFonts w:ascii="Arial" w:hAnsi="Arial" w:cs="Arial"/>
        </w:rPr>
        <w:t xml:space="preserve">".  Its </w:t>
      </w:r>
      <w:hyperlink r:id="rId7" w:history="1">
        <w:r w:rsidRPr="00F013A8">
          <w:rPr>
            <w:rFonts w:ascii="Arial" w:hAnsi="Arial" w:cs="Arial"/>
          </w:rPr>
          <w:t>Payments Systems Board</w:t>
        </w:r>
      </w:hyperlink>
      <w:r w:rsidRPr="00F013A8">
        <w:rPr>
          <w:rFonts w:ascii="Arial" w:hAnsi="Arial" w:cs="Arial"/>
        </w:rPr>
        <w:t xml:space="preserve"> abrogated its responsibility to always </w:t>
      </w:r>
      <w:hyperlink r:id="rId8" w:history="1">
        <w:r w:rsidRPr="00F013A8">
          <w:rPr>
            <w:rFonts w:ascii="Arial" w:hAnsi="Arial" w:cs="Arial"/>
          </w:rPr>
          <w:t>A</w:t>
        </w:r>
      </w:hyperlink>
      <w:hyperlink r:id="rId9" w:history="1">
        <w:r w:rsidRPr="00F013A8">
          <w:rPr>
            <w:rFonts w:ascii="Arial" w:hAnsi="Arial" w:cs="Arial"/>
          </w:rPr>
          <w:t>ct in the Public Interest</w:t>
        </w:r>
      </w:hyperlink>
      <w:r w:rsidRPr="00F013A8">
        <w:rPr>
          <w:rFonts w:ascii="Arial" w:hAnsi="Arial" w:cs="Arial"/>
        </w:rPr>
        <w:t xml:space="preserve"> by failing to "..undertake more direct regulation of ‘</w:t>
      </w:r>
      <w:hyperlink r:id="rId10" w:history="1">
        <w:r w:rsidRPr="00F013A8">
          <w:rPr>
            <w:rFonts w:ascii="Arial" w:hAnsi="Arial" w:cs="Arial"/>
          </w:rPr>
          <w:t>designated</w:t>
        </w:r>
      </w:hyperlink>
      <w:r w:rsidRPr="00F013A8">
        <w:rPr>
          <w:rFonts w:ascii="Arial" w:hAnsi="Arial" w:cs="Arial"/>
        </w:rPr>
        <w:t xml:space="preserve">’ payments systems when it judges it to be in the public interest" due to condoning </w:t>
      </w:r>
      <w:hyperlink r:id="rId11" w:history="1">
        <w:r w:rsidRPr="00F013A8">
          <w:rPr>
            <w:rFonts w:ascii="Arial" w:hAnsi="Arial" w:cs="Arial"/>
          </w:rPr>
          <w:t>Two Exceedingly Costly Monthly Interest Charging Practices</w:t>
        </w:r>
      </w:hyperlink>
      <w:r w:rsidRPr="00F013A8">
        <w:rPr>
          <w:rFonts w:ascii="Arial" w:hAnsi="Arial" w:cs="Arial"/>
        </w:rPr>
        <w:t xml:space="preserve"> by many </w:t>
      </w:r>
      <w:hyperlink r:id="rId12" w:history="1">
        <w:r w:rsidRPr="00F013A8">
          <w:rPr>
            <w:rFonts w:ascii="Arial" w:hAnsi="Arial" w:cs="Arial"/>
          </w:rPr>
          <w:t>Credit Card Issuers</w:t>
        </w:r>
      </w:hyperlink>
      <w:r w:rsidRPr="00F013A8">
        <w:rPr>
          <w:rFonts w:ascii="Arial" w:hAnsi="Arial" w:cs="Arial"/>
        </w:rPr>
        <w:t xml:space="preserve"> that </w:t>
      </w:r>
      <w:hyperlink r:id="rId13" w:history="1">
        <w:r w:rsidRPr="00F013A8">
          <w:rPr>
            <w:rFonts w:ascii="Arial" w:hAnsi="Arial" w:cs="Arial"/>
          </w:rPr>
          <w:t>Targeted Credit Cardholders With Low Financial Literacy Capacity</w:t>
        </w:r>
      </w:hyperlink>
      <w:r w:rsidRPr="00F013A8">
        <w:rPr>
          <w:rFonts w:ascii="Arial" w:hAnsi="Arial" w:cs="Arial"/>
        </w:rPr>
        <w:t xml:space="preserve">, whereupon </w:t>
      </w:r>
      <w:hyperlink r:id="rId14" w:history="1">
        <w:r w:rsidRPr="00F013A8">
          <w:rPr>
            <w:rFonts w:ascii="Arial" w:hAnsi="Arial" w:cs="Arial"/>
          </w:rPr>
          <w:t>Financially Uneducated And Vulnerable Australians</w:t>
        </w:r>
      </w:hyperlink>
      <w:r w:rsidRPr="00F013A8">
        <w:rPr>
          <w:rFonts w:ascii="Arial" w:hAnsi="Arial" w:cs="Arial"/>
        </w:rPr>
        <w:t xml:space="preserve"> have suffered </w:t>
      </w:r>
      <w:hyperlink r:id="rId15" w:history="1">
        <w:r w:rsidRPr="00F013A8">
          <w:rPr>
            <w:rFonts w:ascii="Arial" w:hAnsi="Arial" w:cs="Arial"/>
          </w:rPr>
          <w:t>Extreme Financial And Emotional Distress</w:t>
        </w:r>
      </w:hyperlink>
      <w:r w:rsidRPr="00F013A8">
        <w:rPr>
          <w:rFonts w:ascii="Arial" w:hAnsi="Arial" w:cs="Arial"/>
        </w:rPr>
        <w:t xml:space="preserve">.  </w:t>
      </w:r>
    </w:p>
    <w:p w:rsidR="00F013A8" w:rsidRPr="00F013A8" w:rsidRDefault="00F013A8" w:rsidP="00F013A8">
      <w:pPr>
        <w:pStyle w:val="NormalWeb"/>
        <w:spacing w:before="135" w:beforeAutospacing="0" w:after="120" w:afterAutospacing="0"/>
        <w:rPr>
          <w:rFonts w:ascii="Arial" w:hAnsi="Arial" w:cs="Arial"/>
        </w:rPr>
      </w:pPr>
      <w:hyperlink r:id="rId16" w:history="1">
        <w:r w:rsidRPr="00F013A8">
          <w:rPr>
            <w:rFonts w:ascii="Arial" w:hAnsi="Arial" w:cs="Arial"/>
          </w:rPr>
          <w:t xml:space="preserve">Two Exceedingly Costly Monthly Interest Charging Practices </w:t>
        </w:r>
      </w:hyperlink>
      <w:r w:rsidRPr="00F013A8">
        <w:rPr>
          <w:rFonts w:ascii="Arial" w:hAnsi="Arial" w:cs="Arial"/>
        </w:rPr>
        <w:t xml:space="preserve">evidences that the </w:t>
      </w:r>
      <w:hyperlink r:id="rId17" w:history="1">
        <w:r w:rsidRPr="00F013A8">
          <w:rPr>
            <w:rFonts w:ascii="Arial" w:hAnsi="Arial" w:cs="Arial"/>
          </w:rPr>
          <w:t>Reserve Bank</w:t>
        </w:r>
      </w:hyperlink>
      <w:r w:rsidRPr="00F013A8">
        <w:rPr>
          <w:rFonts w:ascii="Arial" w:hAnsi="Arial" w:cs="Arial"/>
        </w:rPr>
        <w:t xml:space="preserve"> breached its </w:t>
      </w:r>
      <w:hyperlink r:id="rId18" w:history="1">
        <w:r w:rsidRPr="00F013A8">
          <w:rPr>
            <w:rFonts w:ascii="Arial" w:hAnsi="Arial" w:cs="Arial"/>
          </w:rPr>
          <w:t>Statutory Duty</w:t>
        </w:r>
      </w:hyperlink>
      <w:r w:rsidRPr="00F013A8">
        <w:rPr>
          <w:rFonts w:ascii="Arial" w:hAnsi="Arial" w:cs="Arial"/>
        </w:rPr>
        <w:t xml:space="preserve"> and </w:t>
      </w:r>
      <w:hyperlink r:id="rId19" w:history="1">
        <w:r w:rsidRPr="00F013A8">
          <w:rPr>
            <w:rFonts w:ascii="Arial" w:hAnsi="Arial" w:cs="Arial"/>
          </w:rPr>
          <w:t>Fiduciary Duty</w:t>
        </w:r>
      </w:hyperlink>
      <w:r w:rsidRPr="00F013A8">
        <w:rPr>
          <w:rFonts w:ascii="Arial" w:hAnsi="Arial" w:cs="Arial"/>
        </w:rPr>
        <w:t xml:space="preserve"> to </w:t>
      </w:r>
      <w:hyperlink r:id="rId20" w:history="1">
        <w:r w:rsidRPr="00F013A8">
          <w:rPr>
            <w:rFonts w:ascii="Arial" w:hAnsi="Arial" w:cs="Arial"/>
          </w:rPr>
          <w:t>Credit Cardholders</w:t>
        </w:r>
      </w:hyperlink>
      <w:r w:rsidRPr="00F013A8">
        <w:rPr>
          <w:rFonts w:ascii="Arial" w:hAnsi="Arial" w:cs="Arial"/>
        </w:rPr>
        <w:t xml:space="preserve"> with poor </w:t>
      </w:r>
      <w:hyperlink r:id="rId21" w:history="1">
        <w:r w:rsidRPr="00F013A8">
          <w:rPr>
            <w:rFonts w:ascii="Arial" w:hAnsi="Arial" w:cs="Arial"/>
          </w:rPr>
          <w:t>Financial Literacy Capacity</w:t>
        </w:r>
      </w:hyperlink>
      <w:r w:rsidRPr="00F013A8">
        <w:rPr>
          <w:rFonts w:ascii="Arial" w:hAnsi="Arial" w:cs="Arial"/>
        </w:rPr>
        <w:t xml:space="preserve">.  </w:t>
      </w:r>
      <w:hyperlink r:id="rId22" w:history="1">
        <w:r w:rsidRPr="00F013A8">
          <w:rPr>
            <w:rFonts w:ascii="Arial" w:hAnsi="Arial" w:cs="Arial"/>
          </w:rPr>
          <w:t>Persistent Revolvers</w:t>
        </w:r>
      </w:hyperlink>
      <w:r w:rsidRPr="00F013A8">
        <w:rPr>
          <w:rFonts w:ascii="Arial" w:hAnsi="Arial" w:cs="Arial"/>
        </w:rPr>
        <w:t xml:space="preserve"> that account for a mere </w:t>
      </w:r>
      <w:hyperlink r:id="rId23" w:history="1">
        <w:r w:rsidRPr="00F013A8">
          <w:rPr>
            <w:rFonts w:ascii="Arial" w:hAnsi="Arial" w:cs="Arial"/>
          </w:rPr>
          <w:t>12.58%</w:t>
        </w:r>
      </w:hyperlink>
      <w:r w:rsidRPr="00F013A8">
        <w:rPr>
          <w:rFonts w:ascii="Arial" w:hAnsi="Arial" w:cs="Arial"/>
        </w:rPr>
        <w:t xml:space="preserve"> circa of </w:t>
      </w:r>
      <w:hyperlink r:id="rId24" w:history="1">
        <w:r w:rsidRPr="00F013A8">
          <w:rPr>
            <w:rFonts w:ascii="Arial" w:hAnsi="Arial" w:cs="Arial"/>
          </w:rPr>
          <w:t>Credit Cardholders</w:t>
        </w:r>
      </w:hyperlink>
      <w:r w:rsidRPr="00F013A8">
        <w:rPr>
          <w:rFonts w:ascii="Arial" w:hAnsi="Arial" w:cs="Arial"/>
        </w:rPr>
        <w:t xml:space="preserve"> have contributed a whopping 80% circa of all </w:t>
      </w:r>
      <w:hyperlink r:id="rId25" w:history="1">
        <w:r w:rsidRPr="00F013A8">
          <w:rPr>
            <w:rFonts w:ascii="Arial" w:hAnsi="Arial" w:cs="Arial"/>
          </w:rPr>
          <w:t>Interest And Penalty Fees Revenue</w:t>
        </w:r>
      </w:hyperlink>
      <w:r w:rsidRPr="00F013A8">
        <w:rPr>
          <w:rFonts w:ascii="Arial" w:hAnsi="Arial" w:cs="Arial"/>
        </w:rPr>
        <w:t xml:space="preserve"> annually generated from </w:t>
      </w:r>
      <w:hyperlink r:id="rId26" w:history="1">
        <w:r w:rsidRPr="00F013A8">
          <w:rPr>
            <w:rFonts w:ascii="Arial" w:hAnsi="Arial" w:cs="Arial"/>
          </w:rPr>
          <w:t>Credit Card Products</w:t>
        </w:r>
      </w:hyperlink>
      <w:r w:rsidRPr="00F013A8">
        <w:rPr>
          <w:rFonts w:ascii="Arial" w:hAnsi="Arial" w:cs="Arial"/>
        </w:rPr>
        <w:t xml:space="preserve">.  The numeric dollar magnitude of those losses is explained in the </w:t>
      </w:r>
      <w:hyperlink r:id="rId27" w:history="1">
        <w:r w:rsidRPr="00F013A8">
          <w:rPr>
            <w:rFonts w:ascii="Arial" w:hAnsi="Arial" w:cs="Arial"/>
          </w:rPr>
          <w:t>Writer's</w:t>
        </w:r>
      </w:hyperlink>
      <w:r w:rsidRPr="00F013A8">
        <w:rPr>
          <w:rFonts w:ascii="Arial" w:hAnsi="Arial" w:cs="Arial"/>
        </w:rPr>
        <w:t xml:space="preserve"> </w:t>
      </w:r>
      <w:hyperlink r:id="rId28" w:history="1">
        <w:r w:rsidRPr="00F013A8">
          <w:rPr>
            <w:rFonts w:ascii="Arial" w:hAnsi="Arial" w:cs="Arial"/>
          </w:rPr>
          <w:t>Submission to Maurice Blackburn</w:t>
        </w:r>
      </w:hyperlink>
      <w:r w:rsidRPr="00F013A8">
        <w:rPr>
          <w:rFonts w:ascii="Arial" w:hAnsi="Arial" w:cs="Arial"/>
        </w:rPr>
        <w:t xml:space="preserve"> lawyers.</w:t>
      </w:r>
    </w:p>
    <w:p w:rsidR="00F013A8" w:rsidRPr="00F013A8" w:rsidRDefault="00F013A8" w:rsidP="00F013A8">
      <w:pPr>
        <w:pStyle w:val="NormalWeb"/>
        <w:spacing w:before="120" w:beforeAutospacing="0" w:after="0" w:afterAutospacing="0"/>
        <w:rPr>
          <w:rFonts w:ascii="Arial" w:hAnsi="Arial" w:cs="Arial"/>
        </w:rPr>
      </w:pPr>
      <w:r w:rsidRPr="00F013A8">
        <w:rPr>
          <w:rFonts w:ascii="Arial" w:hAnsi="Arial" w:cs="Arial"/>
        </w:rPr>
        <w:t xml:space="preserve">RBA's </w:t>
      </w:r>
      <w:hyperlink r:id="rId29" w:history="1">
        <w:r w:rsidRPr="00F013A8">
          <w:rPr>
            <w:rFonts w:ascii="Arial" w:hAnsi="Arial" w:cs="Arial"/>
          </w:rPr>
          <w:t>LOAN RATE STICKINESS: THEORY AND EVIDENCE</w:t>
        </w:r>
      </w:hyperlink>
      <w:r w:rsidRPr="00F013A8">
        <w:rPr>
          <w:rFonts w:ascii="Arial" w:hAnsi="Arial" w:cs="Arial"/>
        </w:rPr>
        <w:t xml:space="preserve"> written by Philip Lowe and Thomas Rohling - Research Discussion Paper - 9206 - June 1992 recognised that </w:t>
      </w:r>
      <w:hyperlink r:id="rId30" w:history="1">
        <w:r w:rsidRPr="00F013A8">
          <w:rPr>
            <w:rFonts w:ascii="Arial" w:hAnsi="Arial" w:cs="Arial"/>
          </w:rPr>
          <w:t>Credit Card Issuers</w:t>
        </w:r>
      </w:hyperlink>
      <w:r w:rsidRPr="00F013A8">
        <w:rPr>
          <w:rFonts w:ascii="Arial" w:hAnsi="Arial" w:cs="Arial"/>
        </w:rPr>
        <w:t xml:space="preserve"> were not passing on reductions in the cost of funds, but the RBA Board did zilch about the Commonwealth Govt. regulating </w:t>
      </w:r>
      <w:hyperlink r:id="rId31" w:history="1">
        <w:r w:rsidRPr="00F013A8">
          <w:rPr>
            <w:rFonts w:ascii="Arial" w:hAnsi="Arial" w:cs="Arial"/>
          </w:rPr>
          <w:t>Credit Card Issuers</w:t>
        </w:r>
      </w:hyperlink>
      <w:r w:rsidRPr="00F013A8">
        <w:rPr>
          <w:rFonts w:ascii="Arial" w:hAnsi="Arial" w:cs="Arial"/>
        </w:rPr>
        <w:t xml:space="preserve"> to lower interest rates on their </w:t>
      </w:r>
      <w:hyperlink r:id="rId32" w:history="1">
        <w:r w:rsidRPr="00F013A8">
          <w:rPr>
            <w:rFonts w:ascii="Arial" w:hAnsi="Arial" w:cs="Arial"/>
          </w:rPr>
          <w:t>Credit Card Products</w:t>
        </w:r>
      </w:hyperlink>
      <w:r w:rsidRPr="00F013A8">
        <w:rPr>
          <w:rFonts w:ascii="Arial" w:hAnsi="Arial" w:cs="Arial"/>
        </w:rPr>
        <w:t xml:space="preserve">, yet it possessed the </w:t>
      </w:r>
      <w:hyperlink r:id="rId33" w:history="1">
        <w:r w:rsidRPr="00F013A8">
          <w:rPr>
            <w:rFonts w:ascii="Arial" w:hAnsi="Arial" w:cs="Arial"/>
          </w:rPr>
          <w:t>Extensive Regulatory Powers</w:t>
        </w:r>
      </w:hyperlink>
      <w:r w:rsidRPr="00F013A8">
        <w:rPr>
          <w:rFonts w:ascii="Arial" w:hAnsi="Arial" w:cs="Arial"/>
        </w:rPr>
        <w:t xml:space="preserve"> to do so.  Below is an extract from RBA's </w:t>
      </w:r>
      <w:hyperlink r:id="rId34" w:history="1">
        <w:r w:rsidRPr="00F013A8">
          <w:rPr>
            <w:rFonts w:ascii="Arial" w:hAnsi="Arial" w:cs="Arial"/>
          </w:rPr>
          <w:t>LOAN RATE STICKINESS: THEORY AND EVIDENCE</w:t>
        </w:r>
      </w:hyperlink>
      <w:r w:rsidRPr="00F013A8">
        <w:rPr>
          <w:rFonts w:ascii="Arial" w:hAnsi="Arial" w:cs="Arial"/>
        </w:rPr>
        <w:t>:</w:t>
      </w:r>
    </w:p>
    <w:p w:rsidR="0067749D" w:rsidRDefault="0067749D">
      <w:pPr>
        <w:rPr>
          <w:rFonts w:cs="Arial"/>
        </w:rPr>
      </w:pPr>
    </w:p>
    <w:p w:rsidR="00557ECD" w:rsidRDefault="00557ECD">
      <w:pPr>
        <w:rPr>
          <w:rFonts w:cs="Arial"/>
        </w:rPr>
      </w:pPr>
    </w:p>
    <w:p w:rsidR="00557ECD" w:rsidRPr="00AB4BAA" w:rsidRDefault="00557ECD">
      <w:pPr>
        <w:rPr>
          <w:rFonts w:cs="Arial"/>
        </w:rPr>
      </w:pPr>
      <w:bookmarkStart w:id="0" w:name="_GoBack"/>
      <w:r w:rsidRPr="00AB4BAA">
        <w:rPr>
          <w:rFonts w:cs="Arial"/>
          <w:shd w:val="clear" w:color="auto" w:fill="FFFFFF"/>
        </w:rPr>
        <w:t>The fact that the ABA made it mandatory in its lodged</w:t>
      </w:r>
      <w:r w:rsidRPr="00AB4BAA">
        <w:rPr>
          <w:rFonts w:cs="Arial"/>
          <w:b/>
          <w:bCs/>
          <w:shd w:val="clear" w:color="auto" w:fill="FFFFFF"/>
        </w:rPr>
        <w:t xml:space="preserve"> </w:t>
      </w:r>
      <w:hyperlink r:id="rId35" w:history="1">
        <w:r w:rsidRPr="00AB4BAA">
          <w:rPr>
            <w:rStyle w:val="Hyperlink"/>
            <w:rFonts w:cs="Arial"/>
            <w:b/>
            <w:bCs/>
            <w:shd w:val="clear" w:color="auto" w:fill="FFFFFF"/>
            <w:lang w:val="en-AU"/>
          </w:rPr>
          <w:t>Banking Code of Practice</w:t>
        </w:r>
      </w:hyperlink>
      <w:r w:rsidRPr="00AB4BAA">
        <w:rPr>
          <w:rFonts w:cs="Arial"/>
          <w:b/>
          <w:bCs/>
          <w:shd w:val="clear" w:color="auto" w:fill="FFFFFF"/>
          <w:lang w:val="en-AU"/>
        </w:rPr>
        <w:t xml:space="preserve"> </w:t>
      </w:r>
      <w:r w:rsidRPr="00AB4BAA">
        <w:rPr>
          <w:rFonts w:cs="Arial"/>
          <w:shd w:val="clear" w:color="auto" w:fill="FFFFFF"/>
        </w:rPr>
        <w:t>that its members charge interest on ONLY any unpaid portion of the</w:t>
      </w:r>
      <w:r w:rsidRPr="00AB4BAA">
        <w:rPr>
          <w:rFonts w:cs="Arial"/>
          <w:b/>
          <w:bCs/>
          <w:shd w:val="clear" w:color="auto" w:fill="FFFFFF"/>
        </w:rPr>
        <w:t xml:space="preserve"> </w:t>
      </w:r>
      <w:hyperlink r:id="rId36" w:history="1">
        <w:r w:rsidRPr="00AB4BAA">
          <w:rPr>
            <w:rStyle w:val="Hyperlink"/>
            <w:rFonts w:cs="Arial"/>
            <w:b/>
            <w:bCs/>
            <w:shd w:val="clear" w:color="auto" w:fill="FFFFFF"/>
          </w:rPr>
          <w:t>Closing Balance</w:t>
        </w:r>
      </w:hyperlink>
      <w:r w:rsidRPr="00AB4BAA">
        <w:rPr>
          <w:rFonts w:cs="Arial"/>
          <w:b/>
          <w:bCs/>
          <w:shd w:val="clear" w:color="auto" w:fill="FFFFFF"/>
        </w:rPr>
        <w:t xml:space="preserve"> </w:t>
      </w:r>
      <w:r w:rsidRPr="00AB4BAA">
        <w:rPr>
          <w:rFonts w:cs="Arial"/>
          <w:shd w:val="clear" w:color="auto" w:fill="FFFFFF"/>
        </w:rPr>
        <w:t>from the</w:t>
      </w:r>
      <w:r w:rsidRPr="00AB4BAA">
        <w:rPr>
          <w:rFonts w:cs="Arial"/>
          <w:b/>
          <w:bCs/>
          <w:shd w:val="clear" w:color="auto" w:fill="FFFFFF"/>
        </w:rPr>
        <w:t xml:space="preserve"> </w:t>
      </w:r>
      <w:hyperlink r:id="rId37" w:history="1">
        <w:r w:rsidRPr="00AB4BAA">
          <w:rPr>
            <w:rStyle w:val="Hyperlink"/>
            <w:rFonts w:cs="Arial"/>
            <w:b/>
            <w:bCs/>
            <w:shd w:val="clear" w:color="auto" w:fill="FFFFFF"/>
          </w:rPr>
          <w:t>Payment Due Date</w:t>
        </w:r>
      </w:hyperlink>
      <w:r w:rsidRPr="00AB4BAA">
        <w:rPr>
          <w:rFonts w:cs="Arial"/>
          <w:b/>
          <w:bCs/>
          <w:shd w:val="clear" w:color="auto" w:fill="FFFFFF"/>
        </w:rPr>
        <w:t xml:space="preserve"> </w:t>
      </w:r>
      <w:r w:rsidRPr="00AB4BAA">
        <w:rPr>
          <w:rFonts w:cs="Arial"/>
          <w:shd w:val="clear" w:color="auto" w:fill="FFFFFF"/>
        </w:rPr>
        <w:t>is patent evidence that the previous long-running practice (explained in</w:t>
      </w:r>
      <w:r w:rsidRPr="00AB4BAA">
        <w:rPr>
          <w:rFonts w:cs="Arial"/>
          <w:b/>
          <w:bCs/>
          <w:shd w:val="clear" w:color="auto" w:fill="FFFFFF"/>
        </w:rPr>
        <w:t xml:space="preserve"> </w:t>
      </w:r>
      <w:hyperlink r:id="rId38" w:history="1">
        <w:r w:rsidRPr="00AB4BAA">
          <w:rPr>
            <w:rStyle w:val="Hyperlink"/>
            <w:rFonts w:cs="Arial"/>
            <w:b/>
            <w:bCs/>
            <w:shd w:val="clear" w:color="auto" w:fill="FFFFFF"/>
          </w:rPr>
          <w:t>Unconscionable Credit Card Interest Charging</w:t>
        </w:r>
      </w:hyperlink>
      <w:r w:rsidRPr="00AB4BAA">
        <w:rPr>
          <w:rFonts w:cs="Arial"/>
          <w:shd w:val="clear" w:color="auto" w:fill="FFFFFF"/>
        </w:rPr>
        <w:t xml:space="preserve">) was </w:t>
      </w:r>
      <w:hyperlink r:id="rId39" w:history="1">
        <w:r w:rsidRPr="00AB4BAA">
          <w:rPr>
            <w:rStyle w:val="Hyperlink"/>
            <w:rFonts w:cs="Arial"/>
            <w:b/>
            <w:bCs/>
            <w:shd w:val="clear" w:color="auto" w:fill="FFFFFF"/>
          </w:rPr>
          <w:t>Unconscionable Conduct</w:t>
        </w:r>
      </w:hyperlink>
      <w:r w:rsidRPr="00AB4BAA">
        <w:rPr>
          <w:rFonts w:cs="Arial"/>
          <w:b/>
          <w:bCs/>
          <w:shd w:val="clear" w:color="auto" w:fill="FFFFFF"/>
        </w:rPr>
        <w:t xml:space="preserve">  </w:t>
      </w:r>
      <w:hyperlink r:id="rId40" w:history="1">
        <w:r w:rsidRPr="00AB4BAA">
          <w:rPr>
            <w:rStyle w:val="Hyperlink"/>
            <w:rFonts w:cs="Arial"/>
            <w:b/>
            <w:bCs/>
            <w:color w:val="0066FF"/>
            <w:shd w:val="clear" w:color="auto" w:fill="FFFFFF"/>
          </w:rPr>
          <w:t>Targeted At Credit Cardholders With Low Financial Literacy Capacity." </w:t>
        </w:r>
      </w:hyperlink>
      <w:hyperlink r:id="rId41" w:history="1">
        <w:r w:rsidRPr="00AB4BAA">
          <w:rPr>
            <w:rStyle w:val="Hyperlink"/>
            <w:rFonts w:cs="Arial"/>
          </w:rPr>
          <w:t xml:space="preserve"> </w:t>
        </w:r>
      </w:hyperlink>
      <w:r w:rsidRPr="00AB4BAA">
        <w:rPr>
          <w:rFonts w:cs="Arial"/>
        </w:rPr>
        <w:t xml:space="preserve">and unfortunately countenanced by </w:t>
      </w:r>
      <w:hyperlink r:id="rId42" w:history="1">
        <w:r w:rsidRPr="00AB4BAA">
          <w:rPr>
            <w:rStyle w:val="Hyperlink"/>
            <w:rFonts w:cs="Arial"/>
            <w:b/>
            <w:bCs/>
            <w:shd w:val="clear" w:color="auto" w:fill="FFFFFF"/>
          </w:rPr>
          <w:t>Australia's Principal Regulator of the Payments System</w:t>
        </w:r>
      </w:hyperlink>
      <w:r w:rsidRPr="00AB4BAA">
        <w:rPr>
          <w:rFonts w:cs="Arial"/>
          <w:b/>
          <w:bCs/>
          <w:shd w:val="clear" w:color="auto" w:fill="FFFFFF"/>
        </w:rPr>
        <w:t>,</w:t>
      </w:r>
      <w:bookmarkEnd w:id="0"/>
    </w:p>
    <w:sectPr w:rsidR="00557ECD" w:rsidRPr="00AB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3A8"/>
    <w:rsid w:val="003D0DC3"/>
    <w:rsid w:val="00557ECD"/>
    <w:rsid w:val="0067749D"/>
    <w:rsid w:val="00AB4BAA"/>
    <w:rsid w:val="00F0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C7250-814F-463B-B4BD-B24AFD32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013A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01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character" w:styleId="Emphasis">
    <w:name w:val="Emphasis"/>
    <w:basedOn w:val="DefaultParagraphFont"/>
    <w:uiPriority w:val="20"/>
    <w:qFormat/>
    <w:rsid w:val="00F013A8"/>
    <w:rPr>
      <w:i/>
      <w:iCs/>
    </w:rPr>
  </w:style>
  <w:style w:type="character" w:styleId="Strong">
    <w:name w:val="Strong"/>
    <w:basedOn w:val="DefaultParagraphFont"/>
    <w:uiPriority w:val="22"/>
    <w:qFormat/>
    <w:rsid w:val="00F013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Documents\My%20Web%20Sites\Muggaccinos\CreditCards\DefinedTerms\To_Act_In_The_Public_Interest.htm" TargetMode="External"/><Relationship Id="rId13" Type="http://schemas.openxmlformats.org/officeDocument/2006/relationships/hyperlink" Target="file:///F:\Documents\My%20Web%20Sites\Muggaccinos\CreditCards\DefinedTerms\NumeracyAndLiteracyTargeting.htm" TargetMode="External"/><Relationship Id="rId18" Type="http://schemas.openxmlformats.org/officeDocument/2006/relationships/hyperlink" Target="file:///F:\Documents\My%20Web%20Sites\Muggaccinos\CreditCards\DefinedTerms\Statutory_Duty.htm" TargetMode="External"/><Relationship Id="rId26" Type="http://schemas.openxmlformats.org/officeDocument/2006/relationships/hyperlink" Target="file:///F:\Documents\My%20Web%20Sites\Muggaccinos\CreditCards\DefinedTerms\Credit_Card_Products.htm" TargetMode="External"/><Relationship Id="rId39" Type="http://schemas.openxmlformats.org/officeDocument/2006/relationships/hyperlink" Target="file:///F:\Documents\My%20Web%20Sites\Muggaccinos\CreditCards\DefinedTerms\Unconscionable_Conduct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F:\Documents\My%20Web%20Sites\Muggaccinos\CreditCards\DefinedTerms\Financial_Literacy.htm" TargetMode="External"/><Relationship Id="rId34" Type="http://schemas.openxmlformats.org/officeDocument/2006/relationships/hyperlink" Target="file:///F:\Documents\My%20Web%20Sites\Muggaccinos\CreditCards\RBA\loan_rate_stickiness.htm" TargetMode="External"/><Relationship Id="rId42" Type="http://schemas.openxmlformats.org/officeDocument/2006/relationships/hyperlink" Target="file:///F:\Documents\My%20Web%20Sites\Muggaccinos\CreditCards\DefinedTerms\Parliamentary_Bestowed_Mandate.htm" TargetMode="External"/><Relationship Id="rId7" Type="http://schemas.openxmlformats.org/officeDocument/2006/relationships/hyperlink" Target="file:///F:\Documents\My%20Web%20Sites\Muggaccinos\CreditCards\RBA\PaymentsSystemBoard&#8217;sMandate&amp;Objectives.htm" TargetMode="External"/><Relationship Id="rId12" Type="http://schemas.openxmlformats.org/officeDocument/2006/relationships/hyperlink" Target="file:///F:\Documents\My%20Web%20Sites\Muggaccinos\CreditCards\DefinedTerms\Credit_Card_Issuer.htm" TargetMode="External"/><Relationship Id="rId17" Type="http://schemas.openxmlformats.org/officeDocument/2006/relationships/hyperlink" Target="file:///F:\Documents\My%20Web%20Sites\Muggaccinos\CreditCards\DefinedTerms\ReserveBankOfAustralia.htm" TargetMode="External"/><Relationship Id="rId25" Type="http://schemas.openxmlformats.org/officeDocument/2006/relationships/hyperlink" Target="file:///F:\Documents\My%20Web%20Sites\Muggaccinos\CreditCards\DefinedTerms\Interest_And_Penalty_Fees_Revenue.htm" TargetMode="External"/><Relationship Id="rId33" Type="http://schemas.openxmlformats.org/officeDocument/2006/relationships/hyperlink" Target="file:///F:\Documents\My%20Web%20Sites\Muggaccinos\CreditCards\DefinedTerms\Extensive_Powers_of_the_RBA.htm" TargetMode="External"/><Relationship Id="rId38" Type="http://schemas.openxmlformats.org/officeDocument/2006/relationships/hyperlink" Target="file:///F:\Documents\My%20Web%20Sites\Muggaccinos\CreditCards\DefinedTerms\UnconscionableCreditCardInterestCharging.htm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F:\Documents\My%20Web%20Sites\Muggaccinos\CreditCards\DefinedTerms\TwoExceedinglyCostlyMonthlyInterestChargingPractices.htm" TargetMode="External"/><Relationship Id="rId20" Type="http://schemas.openxmlformats.org/officeDocument/2006/relationships/hyperlink" Target="file:///F:\Documents\My%20Web%20Sites\Muggaccinos\CreditCards\DefinedTerms\Credit_Cardholders.htm" TargetMode="External"/><Relationship Id="rId29" Type="http://schemas.openxmlformats.org/officeDocument/2006/relationships/hyperlink" Target="file:///F:\Documents\My%20Web%20Sites\Muggaccinos\CreditCards\RBA\loan_rate_stickiness.htm" TargetMode="External"/><Relationship Id="rId41" Type="http://schemas.openxmlformats.org/officeDocument/2006/relationships/hyperlink" Target="file:///F:\Documents\My%20Web%20Sites\Muggaccinos\CreditCards\DefinedTerms\NumeracyAndLiteracyTargeting.htm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Documents\My%20Web%20Sites\Muggaccinos\CreditCards\DefinedTerms\Parliamentary_Bestowed_Mandate.htm" TargetMode="External"/><Relationship Id="rId11" Type="http://schemas.openxmlformats.org/officeDocument/2006/relationships/hyperlink" Target="file:///F:\Documents\My%20Web%20Sites\Muggaccinos\CreditCards\DefinedTerms\TwoExceedinglyCostlyMonthlyInterestChargingPractices.htm" TargetMode="External"/><Relationship Id="rId24" Type="http://schemas.openxmlformats.org/officeDocument/2006/relationships/hyperlink" Target="file:///F:\Documents\My%20Web%20Sites\Muggaccinos\CreditCards\DefinedTerms\Credit_Cardholders.htm" TargetMode="External"/><Relationship Id="rId32" Type="http://schemas.openxmlformats.org/officeDocument/2006/relationships/hyperlink" Target="file:///F:\Documents\My%20Web%20Sites\Muggaccinos\CreditCards\DefinedTerms\Credit_Card_Products.htm" TargetMode="External"/><Relationship Id="rId37" Type="http://schemas.openxmlformats.org/officeDocument/2006/relationships/hyperlink" Target="file:///F:\Documents\My%20Web%20Sites\Muggaccinos\CreditCards\DefinedTerms\Payment_Due_Date.htm" TargetMode="External"/><Relationship Id="rId40" Type="http://schemas.openxmlformats.org/officeDocument/2006/relationships/hyperlink" Target="file:///F:\Documents\My%20Web%20Sites\Muggaccinos\CreditCards\DefinedTerms\NumeracyAndLiteracyTargeting.htm" TargetMode="External"/><Relationship Id="rId5" Type="http://schemas.openxmlformats.org/officeDocument/2006/relationships/hyperlink" Target="file:///F:\Documents\My%20Web%20Sites\Muggaccinos\CreditCards\DefinedTerms\Statutory_Duty.htm" TargetMode="External"/><Relationship Id="rId15" Type="http://schemas.openxmlformats.org/officeDocument/2006/relationships/hyperlink" Target="file:///F:\Documents\My%20Web%20Sites\Muggaccinos\CreditCards\DefinedTerms\Extreme_Financial_And_Emotional_Distress.htm" TargetMode="External"/><Relationship Id="rId23" Type="http://schemas.openxmlformats.org/officeDocument/2006/relationships/hyperlink" Target="file:///F:\Documents\My%20Web%20Sites\Muggaccinos\CreditCards\Actions\CreditCardStatistics_4-May-17.xls" TargetMode="External"/><Relationship Id="rId28" Type="http://schemas.openxmlformats.org/officeDocument/2006/relationships/hyperlink" Target="file:///F:\Documents\My%20Web%20Sites\Muggaccinos\CreditCards\MauriceBlackburn\SecondLetterToMauriceBlackburn_25-Jun-17.htm" TargetMode="External"/><Relationship Id="rId36" Type="http://schemas.openxmlformats.org/officeDocument/2006/relationships/hyperlink" Target="file:///F:\Documents\My%20Web%20Sites\Muggaccinos\CreditCards\DefinedTerms\Closing_Balance.htm" TargetMode="External"/><Relationship Id="rId10" Type="http://schemas.openxmlformats.org/officeDocument/2006/relationships/hyperlink" Target="file:///F:\Documents\My%20Web%20Sites\Muggaccinos\CreditCards\RBA\DesignatedAndRegulatedPaymentSystems.htm" TargetMode="External"/><Relationship Id="rId19" Type="http://schemas.openxmlformats.org/officeDocument/2006/relationships/hyperlink" Target="file:///F:\Documents\My%20Web%20Sites\Muggaccinos\CreditCards\DefinedTerms\Fiduciary_Duty.htm" TargetMode="External"/><Relationship Id="rId31" Type="http://schemas.openxmlformats.org/officeDocument/2006/relationships/hyperlink" Target="file:///F:\Documents\My%20Web%20Sites\Muggaccinos\CreditCards\DefinedTerms\Credit_Card_Issuer.htm" TargetMode="External"/><Relationship Id="rId44" Type="http://schemas.openxmlformats.org/officeDocument/2006/relationships/theme" Target="theme/theme1.xml"/><Relationship Id="rId4" Type="http://schemas.openxmlformats.org/officeDocument/2006/relationships/hyperlink" Target="file:///F:\Documents\My%20Web%20Sites\Muggaccinos\CreditCards\DefinedTerms\Parliamentary_Bestowed_Mandate.htm" TargetMode="External"/><Relationship Id="rId9" Type="http://schemas.openxmlformats.org/officeDocument/2006/relationships/hyperlink" Target="file:///F:\Documents\My%20Web%20Sites\Muggaccinos\CreditCards\DefinedTerms\To_Act_In_The_Public_Interest.htm" TargetMode="External"/><Relationship Id="rId14" Type="http://schemas.openxmlformats.org/officeDocument/2006/relationships/hyperlink" Target="file:///F:\Documents\My%20Web%20Sites\Muggaccinos\CreditCards\DefinedTerms\Financially_Uneducated_And_Vulnerable.htm" TargetMode="External"/><Relationship Id="rId22" Type="http://schemas.openxmlformats.org/officeDocument/2006/relationships/hyperlink" Target="file:///F:\Documents\My%20Web%20Sites\Muggaccinos\CreditCards\Actions\Persistent_Revolvers.htm" TargetMode="External"/><Relationship Id="rId27" Type="http://schemas.openxmlformats.org/officeDocument/2006/relationships/hyperlink" Target="file:///F:\Documents\My%20Web%20Sites\Muggaccinos\CreditCards\Writer\Writer.htm" TargetMode="External"/><Relationship Id="rId30" Type="http://schemas.openxmlformats.org/officeDocument/2006/relationships/hyperlink" Target="file:///F:\Documents\My%20Web%20Sites\Muggaccinos\CreditCards\DefinedTerms\Credit_Card_Issuer.htm" TargetMode="External"/><Relationship Id="rId35" Type="http://schemas.openxmlformats.org/officeDocument/2006/relationships/hyperlink" Target="file:///F:\Documents\My%20Web%20Sites\Muggaccinos\CreditCards\ABA\Banking_Code_of_Practice_2019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2022-09-05T02:45:00Z</dcterms:created>
  <dcterms:modified xsi:type="dcterms:W3CDTF">2022-09-05T03:11:00Z</dcterms:modified>
</cp:coreProperties>
</file>