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00" w:rsidRDefault="00814586">
      <w:pPr>
        <w:spacing w:before="216"/>
        <w:ind w:left="288"/>
        <w:rPr>
          <w:rFonts w:ascii="Arial" w:hAnsi="Arial"/>
          <w:b/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left:0;text-align:left;margin-left:63.95pt;margin-top:42.15pt;width:468pt;height:14.4pt;z-index:-251661312;mso-wrap-distance-left:0;mso-wrap-distance-right:0;mso-position-horizontal-relative:page;mso-position-vertical-relative:page" filled="f" stroked="f">
            <v:textbox inset="0,0,0,0">
              <w:txbxContent>
                <w:p w:rsidR="00310200" w:rsidRDefault="00814586">
                  <w:pPr>
                    <w:tabs>
                      <w:tab w:val="right" w:pos="9356"/>
                    </w:tabs>
                    <w:spacing w:line="273" w:lineRule="auto"/>
                    <w:ind w:left="288"/>
                    <w:rPr>
                      <w:rFonts w:ascii="Arial" w:hAnsi="Arial"/>
                      <w:b/>
                      <w:color w:val="000000"/>
                      <w:spacing w:val="-1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10"/>
                    </w:rPr>
                    <w:t>Maurice Blackburn</w:t>
                  </w:r>
                  <w:r>
                    <w:rPr>
                      <w:rFonts w:ascii="Arial" w:hAnsi="Arial"/>
                      <w:b/>
                      <w:color w:val="000000"/>
                      <w:spacing w:val="-10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</w:rPr>
                    <w:t>Page 2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b/>
          <w:color w:val="000000"/>
        </w:rPr>
        <w:t>Duty of care</w:t>
      </w:r>
    </w:p>
    <w:p w:rsidR="00310200" w:rsidRDefault="00814586">
      <w:pPr>
        <w:spacing w:before="288"/>
        <w:ind w:left="288"/>
        <w:jc w:val="both"/>
        <w:rPr>
          <w:rFonts w:ascii="Arial" w:hAnsi="Arial"/>
          <w:b/>
          <w:color w:val="000000"/>
          <w:spacing w:val="-9"/>
        </w:rPr>
      </w:pPr>
      <w:r>
        <w:rPr>
          <w:rFonts w:ascii="Arial" w:hAnsi="Arial"/>
          <w:b/>
          <w:color w:val="000000"/>
          <w:spacing w:val="-9"/>
        </w:rPr>
        <w:t>Additionally, on the iss</w:t>
      </w:r>
      <w:bookmarkStart w:id="0" w:name="_GoBack"/>
      <w:bookmarkEnd w:id="0"/>
      <w:r>
        <w:rPr>
          <w:rFonts w:ascii="Arial" w:hAnsi="Arial"/>
          <w:b/>
          <w:color w:val="000000"/>
          <w:spacing w:val="-9"/>
        </w:rPr>
        <w:t xml:space="preserve">ue of negligence, it would be difficult to establish that the Australian </w:t>
      </w:r>
      <w:r>
        <w:rPr>
          <w:rFonts w:ascii="Arial" w:hAnsi="Arial"/>
          <w:b/>
          <w:color w:val="000000"/>
          <w:spacing w:val="-4"/>
        </w:rPr>
        <w:t xml:space="preserve">Securities and Investments Commission (ASIC) owed a legal duty of care to individual </w:t>
      </w:r>
      <w:r>
        <w:rPr>
          <w:rFonts w:ascii="Arial" w:hAnsi="Arial"/>
          <w:b/>
          <w:color w:val="000000"/>
          <w:spacing w:val="-6"/>
        </w:rPr>
        <w:t xml:space="preserve">consumers of credit card products. Although the </w:t>
      </w:r>
      <w:r>
        <w:rPr>
          <w:rFonts w:ascii="Arial" w:hAnsi="Arial"/>
          <w:b/>
          <w:i/>
          <w:color w:val="000000"/>
          <w:spacing w:val="-6"/>
          <w:w w:val="95"/>
        </w:rPr>
        <w:t xml:space="preserve">ASIC Act </w:t>
      </w:r>
      <w:r>
        <w:rPr>
          <w:rFonts w:ascii="Arial" w:hAnsi="Arial"/>
          <w:b/>
          <w:color w:val="000000"/>
          <w:spacing w:val="-6"/>
        </w:rPr>
        <w:t xml:space="preserve">provides that one of its objects is </w:t>
      </w:r>
      <w:r>
        <w:rPr>
          <w:rFonts w:ascii="Arial" w:hAnsi="Arial"/>
          <w:b/>
          <w:color w:val="000000"/>
          <w:spacing w:val="-5"/>
        </w:rPr>
        <w:t xml:space="preserve">to promote the confident and informed participation of investors and consumers in the </w:t>
      </w:r>
      <w:r>
        <w:rPr>
          <w:rFonts w:ascii="Arial" w:hAnsi="Arial"/>
          <w:b/>
          <w:color w:val="000000"/>
          <w:spacing w:val="-6"/>
        </w:rPr>
        <w:t xml:space="preserve">financial system, based on our consideration of legal principles of the law of negligence, in </w:t>
      </w:r>
      <w:r>
        <w:rPr>
          <w:rFonts w:ascii="Arial" w:hAnsi="Arial"/>
          <w:b/>
          <w:color w:val="000000"/>
          <w:spacing w:val="-5"/>
        </w:rPr>
        <w:t xml:space="preserve">our view it is unlikely that a Court would hold ASIC liable for debts and interest charges </w:t>
      </w:r>
      <w:r>
        <w:rPr>
          <w:rFonts w:ascii="Arial" w:hAnsi="Arial"/>
          <w:b/>
          <w:color w:val="000000"/>
          <w:spacing w:val="-9"/>
        </w:rPr>
        <w:t>incurred by individual consumers through their use of credit cards.</w:t>
      </w:r>
    </w:p>
    <w:p w:rsidR="00310200" w:rsidRDefault="00814586">
      <w:pPr>
        <w:spacing w:before="252"/>
        <w:ind w:left="288"/>
        <w:jc w:val="both"/>
        <w:rPr>
          <w:rFonts w:ascii="Arial" w:hAnsi="Arial"/>
          <w:b/>
          <w:color w:val="000000"/>
          <w:spacing w:val="-3"/>
        </w:rPr>
      </w:pPr>
      <w:r>
        <w:rPr>
          <w:rFonts w:ascii="Arial" w:hAnsi="Arial"/>
          <w:b/>
          <w:color w:val="000000"/>
          <w:spacing w:val="-3"/>
        </w:rPr>
        <w:t xml:space="preserve">We </w:t>
      </w:r>
      <w:r>
        <w:rPr>
          <w:rFonts w:ascii="Arial" w:hAnsi="Arial"/>
          <w:b/>
          <w:color w:val="000000"/>
          <w:spacing w:val="-3"/>
        </w:rPr>
        <w:t xml:space="preserve">have similar concerns in relation to a potential claim against the Reserve Bank of </w:t>
      </w:r>
      <w:r>
        <w:rPr>
          <w:rFonts w:ascii="Arial" w:hAnsi="Arial"/>
          <w:b/>
          <w:color w:val="000000"/>
          <w:spacing w:val="-8"/>
        </w:rPr>
        <w:t>Australia, which has a broad duty to exercise powers in a manner that, in the opinion of the board, best contribute to the economic prosperity and welfare of the people of A</w:t>
      </w:r>
      <w:r>
        <w:rPr>
          <w:rFonts w:ascii="Arial" w:hAnsi="Arial"/>
          <w:b/>
          <w:color w:val="000000"/>
          <w:spacing w:val="-8"/>
        </w:rPr>
        <w:t>ustralia.</w:t>
      </w:r>
      <w:r>
        <w:rPr>
          <w:rFonts w:ascii="Arial" w:hAnsi="Arial"/>
          <w:b/>
          <w:color w:val="000000"/>
          <w:spacing w:val="-8"/>
          <w:w w:val="105"/>
          <w:vertAlign w:val="superscript"/>
        </w:rPr>
        <w:t>3</w:t>
      </w:r>
      <w:r>
        <w:rPr>
          <w:rFonts w:ascii="Arial" w:hAnsi="Arial"/>
          <w:b/>
          <w:color w:val="000000"/>
          <w:spacing w:val="-8"/>
        </w:rPr>
        <w:t xml:space="preserve"> However, duties framed in the broad public interest are unlikely to extend to the individual </w:t>
      </w:r>
      <w:r>
        <w:rPr>
          <w:rFonts w:ascii="Arial" w:hAnsi="Arial"/>
          <w:b/>
          <w:color w:val="000000"/>
          <w:spacing w:val="-9"/>
        </w:rPr>
        <w:t>circumstances of consumers such as those outlined in your letter.</w:t>
      </w:r>
    </w:p>
    <w:p w:rsidR="00310200" w:rsidRDefault="00814586">
      <w:pPr>
        <w:spacing w:before="252" w:line="213" w:lineRule="auto"/>
        <w:ind w:left="288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Conclusion</w:t>
      </w:r>
    </w:p>
    <w:p w:rsidR="00310200" w:rsidRDefault="00814586">
      <w:pPr>
        <w:spacing w:before="288"/>
        <w:ind w:left="288"/>
        <w:jc w:val="both"/>
        <w:rPr>
          <w:rFonts w:ascii="Arial" w:hAnsi="Arial"/>
          <w:b/>
          <w:color w:val="000000"/>
          <w:spacing w:val="-11"/>
        </w:rPr>
      </w:pPr>
      <w:r>
        <w:rPr>
          <w:rFonts w:ascii="Arial" w:hAnsi="Arial"/>
          <w:b/>
          <w:color w:val="000000"/>
          <w:spacing w:val="-11"/>
        </w:rPr>
        <w:t xml:space="preserve">In our view there would be legal risks associated with a claim in relation </w:t>
      </w:r>
      <w:r>
        <w:rPr>
          <w:rFonts w:ascii="Arial" w:hAnsi="Arial"/>
          <w:b/>
          <w:color w:val="000000"/>
          <w:spacing w:val="-11"/>
        </w:rPr>
        <w:t xml:space="preserve">to the circumstances </w:t>
      </w:r>
      <w:r>
        <w:rPr>
          <w:rFonts w:ascii="Arial" w:hAnsi="Arial"/>
          <w:b/>
          <w:color w:val="000000"/>
          <w:spacing w:val="-5"/>
        </w:rPr>
        <w:t xml:space="preserve">outlined in your letter and for this reason the proposed claim does not meet our criteria for </w:t>
      </w:r>
      <w:r>
        <w:rPr>
          <w:rFonts w:ascii="Arial" w:hAnsi="Arial"/>
          <w:b/>
          <w:color w:val="000000"/>
          <w:spacing w:val="-8"/>
        </w:rPr>
        <w:t>the pursuit of a class action.</w:t>
      </w:r>
    </w:p>
    <w:p w:rsidR="00310200" w:rsidRDefault="00814586">
      <w:pPr>
        <w:spacing w:before="180" w:after="288"/>
        <w:ind w:left="288"/>
        <w:jc w:val="both"/>
        <w:rPr>
          <w:rFonts w:ascii="Arial" w:hAnsi="Arial"/>
          <w:b/>
          <w:color w:val="000000"/>
          <w:spacing w:val="-6"/>
        </w:rPr>
      </w:pPr>
      <w:r>
        <w:rPr>
          <w:rFonts w:ascii="Arial" w:hAnsi="Arial"/>
          <w:b/>
          <w:color w:val="000000"/>
          <w:spacing w:val="-6"/>
        </w:rPr>
        <w:t xml:space="preserve">Although it may be the case that financially vulnerable consumers are at risk when it comes </w:t>
      </w:r>
      <w:r>
        <w:rPr>
          <w:rFonts w:ascii="Arial" w:hAnsi="Arial"/>
          <w:b/>
          <w:color w:val="000000"/>
          <w:spacing w:val="-5"/>
        </w:rPr>
        <w:t xml:space="preserve">to credit card products, we think that the concerns outlined in your letter would be best </w:t>
      </w:r>
      <w:r>
        <w:rPr>
          <w:rFonts w:ascii="Arial" w:hAnsi="Arial"/>
          <w:b/>
          <w:color w:val="000000"/>
          <w:spacing w:val="-4"/>
        </w:rPr>
        <w:t xml:space="preserve">addressed by legislative or regulatory change that is designed to protect the interests of </w:t>
      </w:r>
      <w:r>
        <w:rPr>
          <w:rFonts w:ascii="Arial" w:hAnsi="Arial"/>
          <w:b/>
          <w:color w:val="000000"/>
        </w:rPr>
        <w:t>these consumers. In this regard, we suggest that you contact your local Mem</w:t>
      </w:r>
      <w:r>
        <w:rPr>
          <w:rFonts w:ascii="Arial" w:hAnsi="Arial"/>
          <w:b/>
          <w:color w:val="000000"/>
        </w:rPr>
        <w:t xml:space="preserve">ber of </w:t>
      </w:r>
      <w:r>
        <w:rPr>
          <w:rFonts w:ascii="Arial" w:hAnsi="Arial"/>
          <w:b/>
          <w:color w:val="000000"/>
          <w:spacing w:val="-8"/>
        </w:rPr>
        <w:t>Parliament to continue your advocacy on behalf of vulnerable consumers.</w:t>
      </w:r>
    </w:p>
    <w:p w:rsidR="00310200" w:rsidRDefault="00814586">
      <w:pPr>
        <w:spacing w:after="4968"/>
        <w:ind w:left="216" w:right="6624"/>
        <w:rPr>
          <w:rFonts w:ascii="Arial" w:hAnsi="Arial"/>
          <w:b/>
          <w:color w:val="000000"/>
        </w:rPr>
      </w:pPr>
      <w:r>
        <w:pict>
          <v:shape id="_x0000_s1030" type="#_x0000_t202" style="position:absolute;left:0;text-align:left;margin-left:63.95pt;margin-top:424.3pt;width:468pt;height:51.3pt;z-index:-251660288;mso-wrap-distance-left:0;mso-wrap-distance-right:0;mso-position-horizontal-relative:page;mso-position-vertical-relative:page" filled="f" stroked="f">
            <v:textbox inset="0,0,0,0">
              <w:txbxContent>
                <w:p w:rsidR="00310200" w:rsidRDefault="00310200"/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63.95pt;margin-top:424.3pt;width:155.35pt;height:50.4pt;z-index:-251659264;mso-wrap-distance-left:0;mso-wrap-distance-right:0;mso-position-horizontal-relative:page;mso-position-vertical-relative:page" filled="f" stroked="f">
            <v:textbox inset="0,0,0,0">
              <w:txbxContent>
                <w:p w:rsidR="00310200" w:rsidRDefault="0081458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72945" cy="64008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2945" cy="6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78pt;margin-top:424.3pt;width:1in;height:12.95pt;z-index:-251658240;mso-wrap-distance-left:0;mso-wrap-distance-right:0;mso-position-horizontal-relative:page;mso-position-vertical-relative:page" stroked="f">
            <v:textbox inset="0,0,0,0">
              <w:txbxContent>
                <w:p w:rsidR="00310200" w:rsidRDefault="00814586">
                  <w:pPr>
                    <w:shd w:val="solid" w:color="FFFFFF" w:fill="FFFFFF"/>
                    <w:spacing w:line="308" w:lineRule="exact"/>
                    <w:rPr>
                      <w:rFonts w:ascii="Arial" w:hAnsi="Arial"/>
                      <w:b/>
                      <w:color w:val="000000"/>
                      <w:spacing w:val="-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000000"/>
                      <w:spacing w:val="-18"/>
                    </w:rPr>
                    <w:t>Yomrs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  <w:spacing w:val="-18"/>
                    </w:rPr>
                    <w:t xml:space="preserve"> faithfully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83.2pt;margin-top:437.25pt;width:11.7pt;height:17.85pt;z-index:-251657216;mso-wrap-distance-left:0;mso-wrap-distance-right:0;mso-position-horizontal-relative:page;mso-position-vertical-relative:page" stroked="f">
            <v:textbox inset="0,0,0,0">
              <w:txbxContent>
                <w:p w:rsidR="00310200" w:rsidRDefault="00814586">
                  <w:pPr>
                    <w:shd w:val="solid" w:color="FFFFFF" w:fill="FFFFFF"/>
                    <w:spacing w:line="308" w:lineRule="exact"/>
                    <w:rPr>
                      <w:rFonts w:ascii="Arial" w:hAnsi="Arial"/>
                      <w:b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/</w:t>
                  </w:r>
                  <w:r>
                    <w:rPr>
                      <w:rFonts w:ascii="Arial" w:hAnsi="Arial"/>
                      <w:b/>
                      <w:color w:val="000000"/>
                      <w:w w:val="105"/>
                      <w:vertAlign w:val="superscript"/>
                    </w:rPr>
                    <w:t>I)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b/>
          <w:color w:val="000000"/>
        </w:rPr>
        <w:t xml:space="preserve">Julian Schimmel </w:t>
      </w:r>
      <w:r>
        <w:rPr>
          <w:rFonts w:ascii="Arial" w:hAnsi="Arial"/>
          <w:b/>
          <w:color w:val="000000"/>
          <w:spacing w:val="-3"/>
        </w:rPr>
        <w:t>MAURICE BLACKBURN</w:t>
      </w:r>
    </w:p>
    <w:p w:rsidR="00310200" w:rsidRDefault="00310200">
      <w:pPr>
        <w:sectPr w:rsidR="00310200">
          <w:pgSz w:w="11918" w:h="16854"/>
          <w:pgMar w:top="1131" w:right="1219" w:bottom="738" w:left="1279" w:header="720" w:footer="720" w:gutter="0"/>
          <w:cols w:space="720"/>
        </w:sectPr>
      </w:pPr>
    </w:p>
    <w:p w:rsidR="00310200" w:rsidRDefault="00814586">
      <w:pPr>
        <w:spacing w:line="328" w:lineRule="exact"/>
        <w:ind w:right="72"/>
        <w:rPr>
          <w:rFonts w:ascii="Arial" w:hAnsi="Arial"/>
          <w:color w:val="000000"/>
          <w:spacing w:val="-7"/>
          <w:w w:val="110"/>
          <w:sz w:val="12"/>
        </w:rPr>
      </w:pPr>
      <w:r>
        <w:pict>
          <v:line id="_x0000_s1026" style="position:absolute;z-index:251660288;mso-position-horizontal-relative:text;mso-position-vertical-relative:text" from="0,.35pt" to="143.5pt,.35pt" strokeweight=".55pt"/>
        </w:pict>
      </w:r>
      <w:r>
        <w:rPr>
          <w:rFonts w:ascii="Arial" w:hAnsi="Arial"/>
          <w:color w:val="000000"/>
          <w:spacing w:val="-7"/>
          <w:w w:val="110"/>
          <w:sz w:val="12"/>
        </w:rPr>
        <w:t xml:space="preserve">3 </w:t>
      </w:r>
      <w:r>
        <w:rPr>
          <w:rFonts w:ascii="Arial" w:hAnsi="Arial"/>
          <w:i/>
          <w:color w:val="000000"/>
          <w:spacing w:val="-7"/>
          <w:w w:val="105"/>
          <w:sz w:val="18"/>
        </w:rPr>
        <w:t xml:space="preserve">Reserve Bank Act 1959 </w:t>
      </w:r>
      <w:r>
        <w:rPr>
          <w:rFonts w:ascii="Arial" w:hAnsi="Arial"/>
          <w:color w:val="000000"/>
          <w:spacing w:val="-7"/>
          <w:sz w:val="18"/>
        </w:rPr>
        <w:t xml:space="preserve">(Cth), s 10(2). </w:t>
      </w:r>
      <w:r>
        <w:rPr>
          <w:rFonts w:ascii="Verdana" w:hAnsi="Verdana"/>
          <w:color w:val="000000"/>
          <w:spacing w:val="-10"/>
          <w:sz w:val="15"/>
        </w:rPr>
        <w:t>400305288_1</w:t>
      </w:r>
    </w:p>
    <w:sectPr w:rsidR="00310200">
      <w:type w:val="continuous"/>
      <w:pgSz w:w="11918" w:h="16854"/>
      <w:pgMar w:top="1131" w:right="7083" w:bottom="738" w:left="15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0200"/>
    <w:rsid w:val="00310200"/>
    <w:rsid w:val="0081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C070B5C7-E619-47F7-87BF-7D6239B4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2</cp:revision>
  <dcterms:created xsi:type="dcterms:W3CDTF">2018-11-01T18:04:00Z</dcterms:created>
  <dcterms:modified xsi:type="dcterms:W3CDTF">2018-11-01T18:04:00Z</dcterms:modified>
</cp:coreProperties>
</file>