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0A" w:rsidRPr="00416C79" w:rsidRDefault="00EE100A" w:rsidP="00416C79">
      <w:pPr>
        <w:pStyle w:val="Heading1"/>
        <w:shd w:val="clear" w:color="auto" w:fill="FFFFFF"/>
        <w:spacing w:before="0" w:beforeAutospacing="0" w:after="0" w:afterAutospacing="0"/>
        <w:rPr>
          <w:rFonts w:ascii="Georgia" w:hAnsi="Georgia"/>
          <w:color w:val="4472C4" w:themeColor="accent5"/>
          <w:sz w:val="44"/>
          <w:szCs w:val="44"/>
          <w:u w:val="single"/>
        </w:rPr>
      </w:pPr>
      <w:r w:rsidRPr="00EE100A">
        <w:rPr>
          <w:rFonts w:ascii="Georgia" w:hAnsi="Georgia"/>
        </w:rPr>
        <w:fldChar w:fldCharType="begin"/>
      </w:r>
      <w:r w:rsidR="00416C79">
        <w:rPr>
          <w:rFonts w:ascii="Georgia" w:hAnsi="Georgia"/>
        </w:rPr>
        <w:instrText>HYPERLINK "https://www.afr.com/politics/federal/all-51-recommendations-from-the-rba-review-20230420-p5d1vl"</w:instrText>
      </w:r>
      <w:r w:rsidR="00416C79" w:rsidRPr="00EE100A">
        <w:rPr>
          <w:rFonts w:ascii="Georgia" w:hAnsi="Georgia"/>
        </w:rPr>
      </w:r>
      <w:r w:rsidRPr="00EE100A">
        <w:rPr>
          <w:rFonts w:ascii="Georgia" w:hAnsi="Georgia"/>
        </w:rPr>
        <w:fldChar w:fldCharType="separate"/>
      </w:r>
      <w:r w:rsidRPr="00416C79">
        <w:rPr>
          <w:rFonts w:ascii="Georgia" w:hAnsi="Georgia"/>
          <w:color w:val="4472C4" w:themeColor="accent5"/>
          <w:sz w:val="44"/>
          <w:szCs w:val="44"/>
          <w:u w:val="single"/>
        </w:rPr>
        <w:t>All 51 recommendations from the RBA review</w:t>
      </w:r>
    </w:p>
    <w:p w:rsidR="00EE100A" w:rsidRPr="00EE100A" w:rsidRDefault="00EE100A" w:rsidP="00416C79">
      <w:pPr>
        <w:spacing w:after="0" w:line="240" w:lineRule="auto"/>
        <w:rPr>
          <w:rFonts w:ascii="Times New Roman" w:eastAsia="Times New Roman" w:hAnsi="Times New Roman"/>
          <w:color w:val="111111"/>
        </w:rPr>
      </w:pPr>
      <w:r w:rsidRPr="00EE100A">
        <w:rPr>
          <w:rFonts w:ascii="Times" w:eastAsia="Times New Roman" w:hAnsi="Times" w:cs="Times"/>
          <w:b/>
          <w:bCs/>
          <w:color w:val="111111"/>
          <w:u w:val="single"/>
          <w:bdr w:val="none" w:sz="0" w:space="0" w:color="auto" w:frame="1"/>
        </w:rPr>
        <w:t>Campbell Kwan</w:t>
      </w:r>
      <w:r w:rsidRPr="00EE100A">
        <w:rPr>
          <w:rFonts w:ascii="Georgia" w:eastAsia="Times New Roman" w:hAnsi="Georgia"/>
          <w:b/>
          <w:bCs/>
        </w:rPr>
        <w:fldChar w:fldCharType="end"/>
      </w:r>
      <w:r w:rsidR="00B93B47">
        <w:rPr>
          <w:rFonts w:ascii="Georgia" w:eastAsia="Times New Roman" w:hAnsi="Georgia"/>
          <w:b/>
          <w:bCs/>
        </w:rPr>
        <w:t xml:space="preserve">  </w:t>
      </w:r>
      <w:proofErr w:type="gramStart"/>
      <w:r w:rsidR="00416C79">
        <w:rPr>
          <w:rFonts w:ascii="Georgia" w:eastAsia="Times New Roman" w:hAnsi="Georgia"/>
          <w:b/>
          <w:bCs/>
        </w:rPr>
        <w:t>AFR  -</w:t>
      </w:r>
      <w:proofErr w:type="gramEnd"/>
      <w:r w:rsidR="00416C79">
        <w:rPr>
          <w:rFonts w:ascii="Georgia" w:eastAsia="Times New Roman" w:hAnsi="Georgia"/>
          <w:b/>
          <w:bCs/>
        </w:rPr>
        <w:t xml:space="preserve"> </w:t>
      </w:r>
      <w:r w:rsidR="00B93B47" w:rsidRPr="00416C79">
        <w:rPr>
          <w:rFonts w:ascii="Times New Roman" w:eastAsia="Times New Roman" w:hAnsi="Times New Roman"/>
          <w:b/>
          <w:color w:val="111111"/>
        </w:rPr>
        <w:t>Apr 20, 2023</w:t>
      </w:r>
    </w:p>
    <w:p w:rsidR="00EE100A" w:rsidRPr="00EE100A" w:rsidRDefault="00416C79" w:rsidP="00EE100A">
      <w:pPr>
        <w:shd w:val="clear" w:color="auto" w:fill="FFFFFF"/>
        <w:spacing w:after="0" w:line="240" w:lineRule="auto"/>
        <w:rPr>
          <w:rFonts w:ascii="Georgia" w:eastAsia="Times New Roman" w:hAnsi="Georgia"/>
          <w:color w:val="111111"/>
          <w:sz w:val="27"/>
          <w:szCs w:val="27"/>
        </w:rPr>
      </w:pPr>
      <w:r>
        <w:rPr>
          <w:rFonts w:ascii="Georgia" w:eastAsia="Times New Roman" w:hAnsi="Georgia"/>
          <w:color w:val="111111"/>
          <w:sz w:val="27"/>
          <w:szCs w:val="27"/>
        </w:rPr>
        <w:br/>
      </w:r>
      <w:r w:rsidR="00EE100A" w:rsidRPr="00EE100A">
        <w:rPr>
          <w:rFonts w:ascii="Georgia" w:eastAsia="Times New Roman" w:hAnsi="Georgia"/>
          <w:color w:val="111111"/>
          <w:sz w:val="27"/>
          <w:szCs w:val="27"/>
        </w:rPr>
        <w:t>The Reserve Bank will get more experts for a separate board to set interest rates and will hold fewer board meetings with mandatory press conferences, as part of the first external review of the central bank and the operation of monetary policy in 40 years.</w:t>
      </w:r>
    </w:p>
    <w:p w:rsidR="00EE100A" w:rsidRPr="00EE100A" w:rsidRDefault="00EE100A" w:rsidP="00B93B47">
      <w:pPr>
        <w:shd w:val="clear" w:color="auto" w:fill="FFFFFF"/>
        <w:spacing w:before="240" w:after="0" w:line="240" w:lineRule="auto"/>
        <w:rPr>
          <w:rFonts w:ascii="Georgia" w:eastAsia="Times New Roman" w:hAnsi="Georgia"/>
          <w:color w:val="111111"/>
          <w:sz w:val="27"/>
          <w:szCs w:val="27"/>
        </w:rPr>
      </w:pPr>
      <w:r w:rsidRPr="00EE100A">
        <w:rPr>
          <w:rFonts w:ascii="Georgia" w:eastAsia="Times New Roman" w:hAnsi="Georgia"/>
          <w:color w:val="111111"/>
          <w:sz w:val="27"/>
          <w:szCs w:val="27"/>
        </w:rPr>
        <w:t>The </w:t>
      </w:r>
      <w:hyperlink r:id="rId5" w:history="1">
        <w:r w:rsidRPr="00EE100A">
          <w:rPr>
            <w:rFonts w:ascii="inherit" w:eastAsia="Times New Roman" w:hAnsi="inherit"/>
            <w:color w:val="0F6CC9"/>
            <w:sz w:val="27"/>
            <w:szCs w:val="27"/>
            <w:u w:val="single"/>
            <w:bdr w:val="none" w:sz="0" w:space="0" w:color="auto" w:frame="1"/>
          </w:rPr>
          <w:t>review</w:t>
        </w:r>
      </w:hyperlink>
      <w:r w:rsidRPr="00EE100A">
        <w:rPr>
          <w:rFonts w:ascii="Georgia" w:eastAsia="Times New Roman" w:hAnsi="Georgia"/>
          <w:color w:val="111111"/>
          <w:sz w:val="27"/>
          <w:szCs w:val="27"/>
        </w:rPr>
        <w:t>, announced by Treasurer Jim Chalmers last year, was established with the objective of identifying how to make it “the world’s best and most effective central bank into the future”.</w:t>
      </w:r>
    </w:p>
    <w:p w:rsidR="00EE100A" w:rsidRPr="00EE100A" w:rsidRDefault="00EE100A" w:rsidP="00EE100A">
      <w:pPr>
        <w:shd w:val="clear" w:color="auto" w:fill="FFFFFF"/>
        <w:spacing w:after="0" w:line="240" w:lineRule="auto"/>
        <w:rPr>
          <w:rFonts w:ascii="Georgia" w:eastAsia="Times New Roman" w:hAnsi="Georgia"/>
          <w:color w:val="111111"/>
          <w:sz w:val="27"/>
          <w:szCs w:val="27"/>
        </w:rPr>
      </w:pPr>
      <w:r>
        <w:rPr>
          <w:rFonts w:ascii="Georgia" w:eastAsia="Times New Roman" w:hAnsi="Georgia"/>
          <w:color w:val="111111"/>
          <w:sz w:val="27"/>
          <w:szCs w:val="27"/>
        </w:rPr>
        <w:br/>
      </w:r>
      <w:r w:rsidRPr="00EE100A">
        <w:rPr>
          <w:rFonts w:ascii="Georgia" w:eastAsia="Times New Roman" w:hAnsi="Georgia"/>
          <w:color w:val="111111"/>
          <w:sz w:val="27"/>
          <w:szCs w:val="27"/>
        </w:rPr>
        <w:t>Canadian central banker Carolyn Wilkins, ANU economics professor Renee Fry-</w:t>
      </w:r>
      <w:proofErr w:type="spellStart"/>
      <w:r w:rsidRPr="00EE100A">
        <w:rPr>
          <w:rFonts w:ascii="Georgia" w:eastAsia="Times New Roman" w:hAnsi="Georgia"/>
          <w:color w:val="111111"/>
          <w:sz w:val="27"/>
          <w:szCs w:val="27"/>
        </w:rPr>
        <w:t>McKibbin</w:t>
      </w:r>
      <w:proofErr w:type="spellEnd"/>
      <w:r w:rsidRPr="00EE100A">
        <w:rPr>
          <w:rFonts w:ascii="Georgia" w:eastAsia="Times New Roman" w:hAnsi="Georgia"/>
          <w:color w:val="111111"/>
          <w:sz w:val="27"/>
          <w:szCs w:val="27"/>
        </w:rPr>
        <w:t xml:space="preserve"> and former senior Treasury official Gordon de </w:t>
      </w:r>
      <w:proofErr w:type="spellStart"/>
      <w:r w:rsidRPr="00EE100A">
        <w:rPr>
          <w:rFonts w:ascii="Georgia" w:eastAsia="Times New Roman" w:hAnsi="Georgia"/>
          <w:color w:val="111111"/>
          <w:sz w:val="27"/>
          <w:szCs w:val="27"/>
        </w:rPr>
        <w:t>Brouwer</w:t>
      </w:r>
      <w:proofErr w:type="spellEnd"/>
      <w:r w:rsidRPr="00EE100A">
        <w:rPr>
          <w:rFonts w:ascii="Georgia" w:eastAsia="Times New Roman" w:hAnsi="Georgia"/>
          <w:color w:val="111111"/>
          <w:sz w:val="27"/>
          <w:szCs w:val="27"/>
        </w:rPr>
        <w:t>. </w:t>
      </w:r>
      <w:r w:rsidRPr="00EE100A">
        <w:rPr>
          <w:rFonts w:ascii="Georgia" w:eastAsia="Times New Roman" w:hAnsi="Georgia"/>
          <w:b/>
          <w:bCs/>
          <w:color w:val="111111"/>
          <w:sz w:val="27"/>
          <w:szCs w:val="27"/>
        </w:rPr>
        <w:t>Fairfax</w:t>
      </w:r>
    </w:p>
    <w:p w:rsidR="00EE100A" w:rsidRPr="00EE100A" w:rsidRDefault="00EE100A" w:rsidP="00B93B47">
      <w:pPr>
        <w:shd w:val="clear" w:color="auto" w:fill="FFFFFF"/>
        <w:spacing w:before="240" w:after="120" w:line="240" w:lineRule="auto"/>
        <w:rPr>
          <w:rFonts w:ascii="Georgia" w:eastAsia="Times New Roman" w:hAnsi="Georgia"/>
          <w:color w:val="111111"/>
          <w:sz w:val="27"/>
          <w:szCs w:val="27"/>
        </w:rPr>
      </w:pPr>
      <w:r w:rsidRPr="00EE100A">
        <w:rPr>
          <w:rFonts w:ascii="Georgia" w:eastAsia="Times New Roman" w:hAnsi="Georgia"/>
          <w:color w:val="111111"/>
          <w:sz w:val="27"/>
          <w:szCs w:val="27"/>
        </w:rPr>
        <w:t>The independent review has come back with 51 recommendations. Here is what it found:</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highlight w:val="yellow"/>
        </w:rPr>
      </w:pPr>
      <w:r w:rsidRPr="00EE100A">
        <w:rPr>
          <w:rFonts w:ascii="Georgia" w:eastAsia="Times New Roman" w:hAnsi="Georgia"/>
          <w:color w:val="111111"/>
          <w:sz w:val="27"/>
          <w:szCs w:val="27"/>
        </w:rPr>
        <w:t xml:space="preserve">The RBA should continue to have operational independence for monetary policy, meaning </w:t>
      </w:r>
      <w:r w:rsidRPr="00EE100A">
        <w:rPr>
          <w:rFonts w:ascii="Georgia" w:eastAsia="Times New Roman" w:hAnsi="Georgia"/>
          <w:color w:val="111111"/>
          <w:sz w:val="27"/>
          <w:szCs w:val="27"/>
          <w:highlight w:val="yellow"/>
        </w:rPr>
        <w:t>the government should remove the power for the Treasurer to overrule RBA decisions.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 xml:space="preserve">The federal government should legislate that the RBA has dual monetary policy objectives of </w:t>
      </w:r>
      <w:r w:rsidRPr="00EE100A">
        <w:rPr>
          <w:rFonts w:ascii="Georgia" w:eastAsia="Times New Roman" w:hAnsi="Georgia"/>
          <w:color w:val="111111"/>
          <w:sz w:val="27"/>
          <w:szCs w:val="27"/>
          <w:highlight w:val="yellow"/>
        </w:rPr>
        <w:t>price stability and full employment</w:t>
      </w:r>
      <w:r w:rsidRPr="00EE100A">
        <w:rPr>
          <w:rFonts w:ascii="Georgia" w:eastAsia="Times New Roman" w:hAnsi="Georgia"/>
          <w:color w:val="111111"/>
          <w:sz w:val="27"/>
          <w:szCs w:val="27"/>
        </w:rPr>
        <w:t>, with an overarching purpose of providing economic prosperity and welfare for Australians.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 xml:space="preserve">The </w:t>
      </w:r>
      <w:r w:rsidRPr="00EE100A">
        <w:rPr>
          <w:rFonts w:ascii="Georgia" w:eastAsia="Times New Roman" w:hAnsi="Georgia"/>
          <w:color w:val="111111"/>
          <w:sz w:val="27"/>
          <w:szCs w:val="27"/>
          <w:highlight w:val="yellow"/>
        </w:rPr>
        <w:t>federal government should remove the RBA’s power to direct commercial banks’ lending as it is not necessary for the RBA to achieve its core mandate</w:t>
      </w:r>
      <w:r w:rsidRPr="00EE100A">
        <w:rPr>
          <w:rFonts w:ascii="Georgia" w:eastAsia="Times New Roman" w:hAnsi="Georgia"/>
          <w:color w:val="111111"/>
          <w:sz w:val="27"/>
          <w:szCs w:val="27"/>
        </w:rPr>
        <w:t>.</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highlight w:val="yellow"/>
        </w:rPr>
      </w:pPr>
      <w:r w:rsidRPr="00EE100A">
        <w:rPr>
          <w:rFonts w:ascii="Georgia" w:eastAsia="Times New Roman" w:hAnsi="Georgia"/>
          <w:color w:val="111111"/>
          <w:sz w:val="27"/>
          <w:szCs w:val="27"/>
        </w:rPr>
        <w:t xml:space="preserve">The RBA’s monetary policy </w:t>
      </w:r>
      <w:r w:rsidRPr="00EE100A">
        <w:rPr>
          <w:rFonts w:ascii="Georgia" w:eastAsia="Times New Roman" w:hAnsi="Georgia"/>
          <w:color w:val="111111"/>
          <w:sz w:val="27"/>
          <w:szCs w:val="27"/>
          <w:highlight w:val="yellow"/>
        </w:rPr>
        <w:t xml:space="preserve">should have a flexible inflation target of 2-3 per cent, but the board should set out how it aims to achieve the target while </w:t>
      </w:r>
      <w:proofErr w:type="spellStart"/>
      <w:r w:rsidRPr="00EE100A">
        <w:rPr>
          <w:rFonts w:ascii="Georgia" w:eastAsia="Times New Roman" w:hAnsi="Georgia"/>
          <w:color w:val="111111"/>
          <w:sz w:val="27"/>
          <w:szCs w:val="27"/>
          <w:highlight w:val="yellow"/>
        </w:rPr>
        <w:t>prioritising</w:t>
      </w:r>
      <w:proofErr w:type="spellEnd"/>
      <w:r w:rsidRPr="00EE100A">
        <w:rPr>
          <w:rFonts w:ascii="Georgia" w:eastAsia="Times New Roman" w:hAnsi="Georgia"/>
          <w:color w:val="111111"/>
          <w:sz w:val="27"/>
          <w:szCs w:val="27"/>
          <w:highlight w:val="yellow"/>
        </w:rPr>
        <w:t xml:space="preserve"> price stability and full employment.</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explain its expectations about how long inflation is expected to remain above target, or how long labour market conditions are expected to deviate from full employment when these situations arise.</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Promote a better understanding of the relative roles of fiscal and monetary policy. This should entail RBA and Treasury regularly providing information about the economic outlook and policy constraints while working together to analyse the impacts of monetary policy decisions on fiscal policy, and vice versa.</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and Treasury should develop an Australian Macroeconomic Policy Research Program.</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build a framework for the use of additional monetary policy tools in the future.</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and a newly established monetary policy board should instigate a formal review of the monetary policy framework and tools every five years.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lastRenderedPageBreak/>
        <w:t>Legislate that the RBA has a responsibility to contribute to financial system stability.</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Council of Financial Regulators (CFR) should renew memorandums of understanding between its members so there is clarity on what roles members have in identifying and addressing regulatory gaps.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board should inform the CFR when monetary policy is likely to affect, or be affected by, risks to financial stability. This includes providing formal advice to the CFR and APRA every five years.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Update cooperation arrangements between the RBA and APRA to promote financial stability.</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take account of climate risks but not use</w:t>
      </w:r>
      <w:r w:rsidR="00416C79">
        <w:rPr>
          <w:rFonts w:ascii="Georgia" w:eastAsia="Times New Roman" w:hAnsi="Georgia"/>
          <w:color w:val="111111"/>
          <w:sz w:val="27"/>
          <w:szCs w:val="27"/>
        </w:rPr>
        <w:t xml:space="preserve"> </w:t>
      </w:r>
      <w:bookmarkStart w:id="0" w:name="_GoBack"/>
      <w:bookmarkEnd w:id="0"/>
      <w:r w:rsidRPr="00EE100A">
        <w:rPr>
          <w:rFonts w:ascii="Georgia" w:eastAsia="Times New Roman" w:hAnsi="Georgia"/>
          <w:color w:val="111111"/>
          <w:sz w:val="27"/>
          <w:szCs w:val="27"/>
        </w:rPr>
        <w:t>monetary policy to address them.</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not make a transition to a low carbon economy an explicit objective of RBA’s monetary policy. Instead, it is the government’s responsibility to set the mix of policies to pursue and manage the transition.</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constitute a new monetary policy board that is responsible for monetary policy decisions and overseeing the RBA’s contribution to financial system stability (except payments system policy), but not broader corporate governance.</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monetary policy board should comprise the RBA governor, deputy governor, Treasury secretary and six external members, with the governor as chair.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clarify in legislation that the Treasury secretary acts on the monetary policy board in their individual capacity not at the direction of the treasurer.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monetary policy board’s external members should be able to make a significant contribution to monetary policy setting through their areas of expertise.</w:t>
      </w:r>
    </w:p>
    <w:p w:rsidR="00EE100A" w:rsidRPr="00EE100A" w:rsidRDefault="00EE100A" w:rsidP="00F625FB">
      <w:pPr>
        <w:numPr>
          <w:ilvl w:val="0"/>
          <w:numId w:val="1"/>
        </w:numPr>
        <w:shd w:val="clear" w:color="auto" w:fill="FFFFFF"/>
        <w:tabs>
          <w:tab w:val="clear" w:pos="720"/>
        </w:tabs>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External monetary policy board members should be appointed through a transparent process where the Treasury secretary, RBA governor and a third party recommends options for suitable candidates to the Treasurer.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Monetary policy board external members should be appointed for a term of five years, with the possibility of reappointment for up to one year.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monetary policy board should only meet eight times a year – instead of 11 times like the current iteration of the RBA board – to allow for more time to make better monetary policy decisions.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six external monetary policy board members should have direct access to RBA staff for support on technical matters and additional analysis when requested.</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lastRenderedPageBreak/>
        <w:t xml:space="preserve">The RBA should increase its forecasting and </w:t>
      </w:r>
      <w:proofErr w:type="spellStart"/>
      <w:r w:rsidRPr="00EE100A">
        <w:rPr>
          <w:rFonts w:ascii="Georgia" w:eastAsia="Times New Roman" w:hAnsi="Georgia"/>
          <w:color w:val="111111"/>
          <w:sz w:val="27"/>
          <w:szCs w:val="27"/>
        </w:rPr>
        <w:t>macroeconometric</w:t>
      </w:r>
      <w:proofErr w:type="spellEnd"/>
      <w:r w:rsidRPr="00EE100A">
        <w:rPr>
          <w:rFonts w:ascii="Georgia" w:eastAsia="Times New Roman" w:hAnsi="Georgia"/>
          <w:color w:val="111111"/>
          <w:sz w:val="27"/>
          <w:szCs w:val="27"/>
        </w:rPr>
        <w:t xml:space="preserve"> modelling capabilities.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monetary policy board should convene and engage with an expert advisory group on monetary policy.</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monetary policy board should receive, and request as necessary, briefings that more fully consider monetary policy strategy, alternate policy options, costs, benefits and risks.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highlight w:val="yellow"/>
        </w:rPr>
        <w:t>The RBA governor should hold a press conference after each decision meeting to explain the board’s views</w:t>
      </w:r>
      <w:r w:rsidRPr="00EE100A">
        <w:rPr>
          <w:rFonts w:ascii="Georgia" w:eastAsia="Times New Roman" w:hAnsi="Georgia"/>
          <w:color w:val="111111"/>
          <w:sz w:val="27"/>
          <w:szCs w:val="27"/>
        </w:rPr>
        <w:t>.</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External monetary policy board members should give at least one public speech a year.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public statement after each RBA board meeting should be released and approved by members as a fair reflection of the decision and discussion. The statement should report unattributed votes.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publish more of the information underlying the board’s decisions, including detailed forecast data and assumptions and insights from business and community liaison. Board papers should also be published every five years.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strengthen its professional capability in strategic communications, which includes appointing a chief operating officer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 xml:space="preserve">Conflict of interest policies for RBA board members should be strengthened. This should entail </w:t>
      </w:r>
      <w:proofErr w:type="gramStart"/>
      <w:r w:rsidRPr="00EE100A">
        <w:rPr>
          <w:rFonts w:ascii="Georgia" w:eastAsia="Times New Roman" w:hAnsi="Georgia"/>
          <w:color w:val="111111"/>
          <w:sz w:val="27"/>
          <w:szCs w:val="27"/>
        </w:rPr>
        <w:t>boards</w:t>
      </w:r>
      <w:proofErr w:type="gramEnd"/>
      <w:r w:rsidRPr="00EE100A">
        <w:rPr>
          <w:rFonts w:ascii="Georgia" w:eastAsia="Times New Roman" w:hAnsi="Georgia"/>
          <w:color w:val="111111"/>
          <w:sz w:val="27"/>
          <w:szCs w:val="27"/>
        </w:rPr>
        <w:t xml:space="preserve"> members being prohibited from active trading in financial instruments and from transacting in certain types of financial products, such as interest rate derivatives and foreign exchange.</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highlight w:val="yellow"/>
        </w:rPr>
      </w:pPr>
      <w:r w:rsidRPr="00EE100A">
        <w:rPr>
          <w:rFonts w:ascii="Georgia" w:eastAsia="Times New Roman" w:hAnsi="Georgia"/>
          <w:color w:val="111111"/>
          <w:sz w:val="27"/>
          <w:szCs w:val="27"/>
          <w:highlight w:val="yellow"/>
        </w:rPr>
        <w:t>The RBA should appoint a chief operating officer reporting to the governor.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strengthen and extend its leadership capability through more training, assessments and transparent processes for internal opportunities.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further encourage diverse viewpoints and constructive challenge, including by advertising management role vacancies externally as a default.</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strengthen the role of research in policy formulation, including by establishing a monetary policy strategy team and increasing collaboration between policy groups.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establish a governance board – that is separate to the monetary policy board – that is responsible for overseeing the management of the RBA.</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highlight w:val="yellow"/>
        </w:rPr>
      </w:pPr>
      <w:r w:rsidRPr="00EE100A">
        <w:rPr>
          <w:rFonts w:ascii="Georgia" w:eastAsia="Times New Roman" w:hAnsi="Georgia"/>
          <w:color w:val="111111"/>
          <w:sz w:val="27"/>
          <w:szCs w:val="27"/>
        </w:rPr>
        <w:t xml:space="preserve">The governance board should be the accountable authority in respect of the </w:t>
      </w:r>
      <w:proofErr w:type="spellStart"/>
      <w:r w:rsidRPr="00EE100A">
        <w:rPr>
          <w:rFonts w:ascii="Georgia" w:eastAsia="Times New Roman" w:hAnsi="Georgia"/>
          <w:color w:val="111111"/>
          <w:sz w:val="27"/>
          <w:szCs w:val="27"/>
        </w:rPr>
        <w:t>PGPA</w:t>
      </w:r>
      <w:proofErr w:type="spellEnd"/>
      <w:r w:rsidRPr="00EE100A">
        <w:rPr>
          <w:rFonts w:ascii="Georgia" w:eastAsia="Times New Roman" w:hAnsi="Georgia"/>
          <w:color w:val="111111"/>
          <w:sz w:val="27"/>
          <w:szCs w:val="27"/>
        </w:rPr>
        <w:t xml:space="preserve"> Act and expand the audit committee to be an audit and risk committee.</w:t>
      </w:r>
      <w:r w:rsidR="00B93B47">
        <w:rPr>
          <w:rFonts w:ascii="Georgia" w:eastAsia="Times New Roman" w:hAnsi="Georgia"/>
          <w:color w:val="111111"/>
          <w:sz w:val="27"/>
          <w:szCs w:val="27"/>
        </w:rPr>
        <w:t xml:space="preserve">  </w:t>
      </w:r>
      <w:r w:rsidR="00B93B47" w:rsidRPr="00B93B47">
        <w:rPr>
          <w:rStyle w:val="Emphasis"/>
          <w:rFonts w:cs="Arial"/>
          <w:b/>
          <w:bCs/>
          <w:i w:val="0"/>
          <w:iCs w:val="0"/>
          <w:color w:val="5F6368"/>
          <w:sz w:val="21"/>
          <w:szCs w:val="21"/>
          <w:highlight w:val="yellow"/>
          <w:shd w:val="clear" w:color="auto" w:fill="FFFFFF"/>
        </w:rPr>
        <w:t>Public Governance, Performance and Accountability</w:t>
      </w:r>
      <w:r w:rsidR="00B93B47" w:rsidRPr="00B93B47">
        <w:rPr>
          <w:rFonts w:cs="Arial"/>
          <w:color w:val="4D5156"/>
          <w:sz w:val="21"/>
          <w:szCs w:val="21"/>
          <w:highlight w:val="yellow"/>
          <w:shd w:val="clear" w:color="auto" w:fill="FFFFFF"/>
        </w:rPr>
        <w:t> Act</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lastRenderedPageBreak/>
        <w:t>The governance board’s membership should comprise the RBA governor, chief operating officer and five external members. An external member should be chair.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External governance board members should be appointed through a transparent process that is managed by the Treasury secretary, governor and a third party.</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External members of the governance board should be appointed for a term of five years, with the possibility of reappointment for up to one year.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RBA’s two newly established boards – one for monetary policy and the other for governance – should establish charters setting out their responsibilities and those of the RBA executive. A memorandum of understanding should also be established between the two boards.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RBA’s leaders should be assessed on how they deliver and model cultural change by the newly established governance board.</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governance board should assess and report publicly by mid-2025 on the RBA’s progress in implementing the review’s recommendations and achieving its objectives.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implement any RBA review recommendations that require legislation by mid-2024.</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make any new RBA board appointments by mid-2024.</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make board appointments with a view that appointed members will see out their terms and appointments are made in a staggered manner.</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federal government should consult with the shadow treasurer about the implementation of the recommendations of the RBA review, to ensure broad bipartisan support for the new arrangements.</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The RBA should develop an implementation road map of the review.</w:t>
      </w:r>
    </w:p>
    <w:p w:rsidR="00EE100A" w:rsidRPr="00EE100A" w:rsidRDefault="00EE100A" w:rsidP="00EE100A">
      <w:pPr>
        <w:numPr>
          <w:ilvl w:val="0"/>
          <w:numId w:val="1"/>
        </w:numPr>
        <w:shd w:val="clear" w:color="auto" w:fill="FFFFFF"/>
        <w:spacing w:after="240" w:line="240" w:lineRule="auto"/>
        <w:ind w:left="300"/>
        <w:rPr>
          <w:rFonts w:ascii="Georgia" w:eastAsia="Times New Roman" w:hAnsi="Georgia"/>
          <w:color w:val="111111"/>
          <w:sz w:val="27"/>
          <w:szCs w:val="27"/>
        </w:rPr>
      </w:pPr>
      <w:r w:rsidRPr="00EE100A">
        <w:rPr>
          <w:rFonts w:ascii="Georgia" w:eastAsia="Times New Roman" w:hAnsi="Georgia"/>
          <w:color w:val="111111"/>
          <w:sz w:val="27"/>
          <w:szCs w:val="27"/>
        </w:rPr>
        <w:t>Any other implementations of the review should be made by the end of this year.</w:t>
      </w:r>
    </w:p>
    <w:p w:rsidR="0067749D" w:rsidRDefault="00EE100A" w:rsidP="005444BE">
      <w:pPr>
        <w:numPr>
          <w:ilvl w:val="0"/>
          <w:numId w:val="1"/>
        </w:numPr>
        <w:shd w:val="clear" w:color="auto" w:fill="FFFFFF"/>
        <w:spacing w:line="240" w:lineRule="auto"/>
        <w:ind w:left="300"/>
      </w:pPr>
      <w:r w:rsidRPr="00EE100A">
        <w:rPr>
          <w:rFonts w:ascii="Georgia" w:eastAsia="Times New Roman" w:hAnsi="Georgia"/>
          <w:color w:val="111111"/>
          <w:sz w:val="27"/>
          <w:szCs w:val="27"/>
        </w:rPr>
        <w:t>The Treasurer and the RBA board should agree an updated statement on the conduct of monetary policy by the end of 2023.</w:t>
      </w:r>
    </w:p>
    <w:sectPr w:rsidR="0067749D" w:rsidSect="00EE1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11E42"/>
    <w:multiLevelType w:val="multilevel"/>
    <w:tmpl w:val="0C32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0A"/>
    <w:rsid w:val="00416C79"/>
    <w:rsid w:val="0067749D"/>
    <w:rsid w:val="009079ED"/>
    <w:rsid w:val="00B93B47"/>
    <w:rsid w:val="00EE100A"/>
    <w:rsid w:val="00F6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D89D7-DBEC-40F6-9A34-15BA8C8D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10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100A"/>
    <w:rPr>
      <w:b/>
      <w:bCs/>
    </w:rPr>
  </w:style>
  <w:style w:type="character" w:styleId="Hyperlink">
    <w:name w:val="Hyperlink"/>
    <w:basedOn w:val="DefaultParagraphFont"/>
    <w:uiPriority w:val="99"/>
    <w:semiHidden/>
    <w:unhideWhenUsed/>
    <w:rsid w:val="00EE100A"/>
    <w:rPr>
      <w:color w:val="0000FF"/>
      <w:u w:val="single"/>
    </w:rPr>
  </w:style>
  <w:style w:type="character" w:customStyle="1" w:styleId="zwqgd">
    <w:name w:val="zwqgd"/>
    <w:basedOn w:val="DefaultParagraphFont"/>
    <w:rsid w:val="00EE100A"/>
  </w:style>
  <w:style w:type="character" w:customStyle="1" w:styleId="2uk0v">
    <w:name w:val="_2uk0v"/>
    <w:basedOn w:val="DefaultParagraphFont"/>
    <w:rsid w:val="00EE100A"/>
  </w:style>
  <w:style w:type="character" w:customStyle="1" w:styleId="1dfpl">
    <w:name w:val="_1dfpl"/>
    <w:basedOn w:val="DefaultParagraphFont"/>
    <w:rsid w:val="00EE100A"/>
  </w:style>
  <w:style w:type="character" w:customStyle="1" w:styleId="35kru">
    <w:name w:val="_35kru"/>
    <w:basedOn w:val="DefaultParagraphFont"/>
    <w:rsid w:val="00EE100A"/>
  </w:style>
  <w:style w:type="paragraph" w:styleId="NormalWeb">
    <w:name w:val="Normal (Web)"/>
    <w:basedOn w:val="Normal"/>
    <w:uiPriority w:val="99"/>
    <w:semiHidden/>
    <w:unhideWhenUsed/>
    <w:rsid w:val="00EE100A"/>
    <w:pPr>
      <w:spacing w:before="100" w:beforeAutospacing="1" w:after="100" w:afterAutospacing="1" w:line="240" w:lineRule="auto"/>
    </w:pPr>
    <w:rPr>
      <w:rFonts w:ascii="Times New Roman" w:eastAsia="Times New Roman" w:hAnsi="Times New Roman"/>
    </w:rPr>
  </w:style>
  <w:style w:type="character" w:styleId="HTMLCite">
    <w:name w:val="HTML Cite"/>
    <w:basedOn w:val="DefaultParagraphFont"/>
    <w:uiPriority w:val="99"/>
    <w:semiHidden/>
    <w:unhideWhenUsed/>
    <w:rsid w:val="00EE100A"/>
    <w:rPr>
      <w:i/>
      <w:iCs/>
    </w:rPr>
  </w:style>
  <w:style w:type="character" w:customStyle="1" w:styleId="Heading1Char">
    <w:name w:val="Heading 1 Char"/>
    <w:basedOn w:val="DefaultParagraphFont"/>
    <w:link w:val="Heading1"/>
    <w:uiPriority w:val="9"/>
    <w:rsid w:val="00EE100A"/>
    <w:rPr>
      <w:rFonts w:ascii="Times New Roman" w:eastAsia="Times New Roman" w:hAnsi="Times New Roman"/>
      <w:b/>
      <w:bCs/>
      <w:kern w:val="36"/>
      <w:sz w:val="48"/>
      <w:szCs w:val="48"/>
    </w:rPr>
  </w:style>
  <w:style w:type="character" w:styleId="Emphasis">
    <w:name w:val="Emphasis"/>
    <w:basedOn w:val="DefaultParagraphFont"/>
    <w:uiPriority w:val="20"/>
    <w:qFormat/>
    <w:rsid w:val="00B93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362346">
      <w:bodyDiv w:val="1"/>
      <w:marLeft w:val="0"/>
      <w:marRight w:val="0"/>
      <w:marTop w:val="0"/>
      <w:marBottom w:val="0"/>
      <w:divBdr>
        <w:top w:val="none" w:sz="0" w:space="0" w:color="auto"/>
        <w:left w:val="none" w:sz="0" w:space="0" w:color="auto"/>
        <w:bottom w:val="none" w:sz="0" w:space="0" w:color="auto"/>
        <w:right w:val="none" w:sz="0" w:space="0" w:color="auto"/>
      </w:divBdr>
      <w:divsChild>
        <w:div w:id="338505316">
          <w:marLeft w:val="0"/>
          <w:marRight w:val="0"/>
          <w:marTop w:val="0"/>
          <w:marBottom w:val="0"/>
          <w:divBdr>
            <w:top w:val="none" w:sz="0" w:space="0" w:color="auto"/>
            <w:left w:val="none" w:sz="0" w:space="0" w:color="auto"/>
            <w:bottom w:val="none" w:sz="0" w:space="0" w:color="auto"/>
            <w:right w:val="none" w:sz="0" w:space="0" w:color="auto"/>
          </w:divBdr>
          <w:divsChild>
            <w:div w:id="1325013514">
              <w:marLeft w:val="0"/>
              <w:marRight w:val="0"/>
              <w:marTop w:val="0"/>
              <w:marBottom w:val="360"/>
              <w:divBdr>
                <w:top w:val="none" w:sz="0" w:space="0" w:color="auto"/>
                <w:left w:val="none" w:sz="0" w:space="0" w:color="auto"/>
                <w:bottom w:val="none" w:sz="0" w:space="0" w:color="auto"/>
                <w:right w:val="none" w:sz="0" w:space="0" w:color="auto"/>
              </w:divBdr>
            </w:div>
          </w:divsChild>
        </w:div>
        <w:div w:id="1066105365">
          <w:marLeft w:val="0"/>
          <w:marRight w:val="0"/>
          <w:marTop w:val="0"/>
          <w:marBottom w:val="0"/>
          <w:divBdr>
            <w:top w:val="none" w:sz="0" w:space="0" w:color="auto"/>
            <w:left w:val="none" w:sz="0" w:space="0" w:color="auto"/>
            <w:bottom w:val="none" w:sz="0" w:space="0" w:color="auto"/>
            <w:right w:val="none" w:sz="0" w:space="0" w:color="auto"/>
          </w:divBdr>
        </w:div>
        <w:div w:id="506166467">
          <w:marLeft w:val="0"/>
          <w:marRight w:val="0"/>
          <w:marTop w:val="0"/>
          <w:marBottom w:val="0"/>
          <w:divBdr>
            <w:top w:val="none" w:sz="0" w:space="0" w:color="auto"/>
            <w:left w:val="none" w:sz="0" w:space="0" w:color="auto"/>
            <w:bottom w:val="none" w:sz="0" w:space="0" w:color="auto"/>
            <w:right w:val="none" w:sz="0" w:space="0" w:color="auto"/>
          </w:divBdr>
          <w:divsChild>
            <w:div w:id="512574718">
              <w:marLeft w:val="0"/>
              <w:marRight w:val="0"/>
              <w:marTop w:val="0"/>
              <w:marBottom w:val="0"/>
              <w:divBdr>
                <w:top w:val="none" w:sz="0" w:space="0" w:color="auto"/>
                <w:left w:val="none" w:sz="0" w:space="0" w:color="auto"/>
                <w:bottom w:val="none" w:sz="0" w:space="0" w:color="auto"/>
                <w:right w:val="none" w:sz="0" w:space="0" w:color="auto"/>
              </w:divBdr>
            </w:div>
            <w:div w:id="1921866269">
              <w:marLeft w:val="0"/>
              <w:marRight w:val="0"/>
              <w:marTop w:val="0"/>
              <w:marBottom w:val="0"/>
              <w:divBdr>
                <w:top w:val="none" w:sz="0" w:space="0" w:color="auto"/>
                <w:left w:val="none" w:sz="0" w:space="0" w:color="auto"/>
                <w:bottom w:val="none" w:sz="0" w:space="0" w:color="auto"/>
                <w:right w:val="none" w:sz="0" w:space="0" w:color="auto"/>
              </w:divBdr>
            </w:div>
          </w:divsChild>
        </w:div>
        <w:div w:id="663530">
          <w:marLeft w:val="300"/>
          <w:marRight w:val="0"/>
          <w:marTop w:val="0"/>
          <w:marBottom w:val="960"/>
          <w:divBdr>
            <w:top w:val="none" w:sz="0" w:space="0" w:color="auto"/>
            <w:left w:val="none" w:sz="0" w:space="0" w:color="auto"/>
            <w:bottom w:val="none" w:sz="0" w:space="0" w:color="auto"/>
            <w:right w:val="none" w:sz="0" w:space="0" w:color="auto"/>
          </w:divBdr>
          <w:divsChild>
            <w:div w:id="1420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fr.com/policy/economy/rba-to-get-second-board-in-governance-shake-up-20230419-p5d1j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2023-04-21T21:59:00Z</dcterms:created>
  <dcterms:modified xsi:type="dcterms:W3CDTF">2023-04-21T22:17:00Z</dcterms:modified>
</cp:coreProperties>
</file>