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82B46" w:rsidRPr="00982B46" w:rsidRDefault="00982B46" w:rsidP="00982B46">
      <w:pPr>
        <w:shd w:val="clear" w:color="auto" w:fill="FFFFFF"/>
        <w:spacing w:before="72" w:after="0" w:line="240" w:lineRule="auto"/>
        <w:outlineLvl w:val="3"/>
        <w:rPr>
          <w:b/>
          <w:sz w:val="28"/>
          <w:szCs w:val="28"/>
        </w:rPr>
      </w:pPr>
      <w:r w:rsidRPr="00982B46">
        <w:rPr>
          <w:b/>
          <w:sz w:val="28"/>
          <w:szCs w:val="28"/>
        </w:rPr>
        <w:fldChar w:fldCharType="begin"/>
      </w:r>
      <w:r w:rsidRPr="00982B46">
        <w:rPr>
          <w:b/>
          <w:sz w:val="28"/>
          <w:szCs w:val="28"/>
        </w:rPr>
        <w:instrText xml:space="preserve"> HYPERLINK "https://en.wikipedia.org/wiki/Quantitative_easing" \l ":~:text=The%20Federal%20Reserve%20began%20conducting,to%20the%20COVID%2D19%20pandemic." </w:instrText>
      </w:r>
      <w:r w:rsidRPr="00982B46">
        <w:rPr>
          <w:b/>
          <w:sz w:val="28"/>
          <w:szCs w:val="28"/>
        </w:rPr>
        <w:fldChar w:fldCharType="separate"/>
      </w:r>
      <w:r w:rsidRPr="00982B46">
        <w:rPr>
          <w:rStyle w:val="Hyperlink"/>
          <w:b/>
          <w:sz w:val="28"/>
          <w:szCs w:val="28"/>
        </w:rPr>
        <w:t xml:space="preserve">Quantitative </w:t>
      </w:r>
      <w:r w:rsidRPr="00982B46">
        <w:rPr>
          <w:rStyle w:val="Hyperlink"/>
          <w:b/>
          <w:sz w:val="28"/>
          <w:szCs w:val="28"/>
        </w:rPr>
        <w:t xml:space="preserve">Easing </w:t>
      </w:r>
      <w:r w:rsidRPr="00982B46">
        <w:rPr>
          <w:rStyle w:val="Hyperlink"/>
          <w:b/>
          <w:sz w:val="28"/>
          <w:szCs w:val="28"/>
        </w:rPr>
        <w:t>- Wikipedia</w:t>
      </w:r>
      <w:r w:rsidRPr="00982B46">
        <w:rPr>
          <w:b/>
          <w:sz w:val="28"/>
          <w:szCs w:val="28"/>
        </w:rPr>
        <w:fldChar w:fldCharType="end"/>
      </w:r>
    </w:p>
    <w:p w:rsidR="00982B46" w:rsidRPr="00982B46" w:rsidRDefault="00982B46" w:rsidP="00982B46">
      <w:pPr>
        <w:shd w:val="clear" w:color="auto" w:fill="FFFFFF"/>
        <w:spacing w:before="72" w:after="0" w:line="240" w:lineRule="auto"/>
        <w:outlineLvl w:val="3"/>
        <w:rPr>
          <w:rFonts w:eastAsia="Times New Roman" w:cs="Arial"/>
          <w:b/>
          <w:bCs/>
          <w:color w:val="000000"/>
        </w:rPr>
      </w:pPr>
      <w:r w:rsidRPr="00982B46">
        <w:rPr>
          <w:rFonts w:eastAsia="Times New Roman" w:cs="Arial"/>
          <w:b/>
          <w:bCs/>
          <w:color w:val="000000"/>
        </w:rPr>
        <w:t>United States </w:t>
      </w:r>
      <w:r w:rsidRPr="00982B46">
        <w:rPr>
          <w:rFonts w:eastAsia="Times New Roman" w:cs="Arial"/>
          <w:color w:val="54595D"/>
        </w:rPr>
        <w:t>[</w:t>
      </w:r>
      <w:hyperlink r:id="rId4" w:tooltip="Edit section: United States" w:history="1">
        <w:r w:rsidRPr="00982B46">
          <w:rPr>
            <w:rFonts w:eastAsia="Times New Roman" w:cs="Arial"/>
            <w:color w:val="3366CC"/>
            <w:u w:val="single"/>
          </w:rPr>
          <w:t>edit</w:t>
        </w:r>
      </w:hyperlink>
      <w:r w:rsidRPr="00982B46">
        <w:rPr>
          <w:rFonts w:eastAsia="Times New Roman" w:cs="Arial"/>
          <w:color w:val="54595D"/>
        </w:rPr>
        <w:t>]</w:t>
      </w:r>
    </w:p>
    <w:p w:rsidR="00982B46" w:rsidRPr="00982B46" w:rsidRDefault="00982B46" w:rsidP="00982B46">
      <w:pPr>
        <w:spacing w:after="0" w:line="240" w:lineRule="auto"/>
        <w:rPr>
          <w:rFonts w:ascii="Times New Roman" w:eastAsia="Times New Roman" w:hAnsi="Times New Roman"/>
        </w:rPr>
      </w:pPr>
      <w:r w:rsidRPr="00982B46">
        <w:rPr>
          <w:rFonts w:ascii="Times New Roman" w:eastAsia="Times New Roman" w:hAnsi="Times New Roman"/>
          <w:noProof/>
          <w:color w:val="3366CC"/>
          <w:bdr w:val="none" w:sz="0" w:space="0" w:color="auto" w:frame="1"/>
        </w:rPr>
        <w:drawing>
          <wp:inline distT="0" distB="0" distL="0" distR="0">
            <wp:extent cx="3914775" cy="1509985"/>
            <wp:effectExtent l="0" t="0" r="0" b="0"/>
            <wp:docPr id="4" name="Picture 4" descr="https://upload.wikimedia.org/wikipedia/commons/thumb/5/50/U.S._Federal_Reserve_-_Treasury_and_Mortgage-Backed_Securities_Held.png/350px-U.S._Federal_Reserve_-_Treasury_and_Mortgage-Backed_Securities_Held.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0/U.S._Federal_Reserve_-_Treasury_and_Mortgage-Backed_Securities_Held.png/350px-U.S._Federal_Reserve_-_Treasury_and_Mortgage-Backed_Securities_Held.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4750" cy="1513833"/>
                    </a:xfrm>
                    <a:prstGeom prst="rect">
                      <a:avLst/>
                    </a:prstGeom>
                    <a:noFill/>
                    <a:ln>
                      <a:noFill/>
                    </a:ln>
                  </pic:spPr>
                </pic:pic>
              </a:graphicData>
            </a:graphic>
          </wp:inline>
        </w:drawing>
      </w:r>
      <w:r>
        <w:rPr>
          <w:rFonts w:ascii="Times New Roman" w:eastAsia="Times New Roman" w:hAnsi="Times New Roman"/>
        </w:rPr>
        <w:br/>
      </w:r>
      <w:r w:rsidRPr="00982B46">
        <w:rPr>
          <w:rFonts w:ascii="Times New Roman" w:eastAsia="Times New Roman" w:hAnsi="Times New Roman"/>
        </w:rPr>
        <w:t>Federal Reserve holdings of treasury notes (blue) and mortgage-backed securities (red)</w:t>
      </w:r>
      <w:r w:rsidRPr="00982B46">
        <w:rPr>
          <w:rFonts w:ascii="Times New Roman" w:eastAsia="Times New Roman" w:hAnsi="Times New Roman"/>
          <w:noProof/>
          <w:color w:val="3366CC"/>
          <w:bdr w:val="none" w:sz="0" w:space="0" w:color="auto" w:frame="1"/>
        </w:rPr>
        <w:drawing>
          <wp:inline distT="0" distB="0" distL="0" distR="0">
            <wp:extent cx="3419475" cy="1341486"/>
            <wp:effectExtent l="0" t="0" r="0" b="0"/>
            <wp:docPr id="3" name="Picture 3" descr="https://upload.wikimedia.org/wikipedia/commons/thumb/f/f5/FFR_treasuries.webp/260px-FFR_treasuries.webp.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f/f5/FFR_treasuries.webp/260px-FFR_treasuries.webp.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1224" cy="1342172"/>
                    </a:xfrm>
                    <a:prstGeom prst="rect">
                      <a:avLst/>
                    </a:prstGeom>
                    <a:noFill/>
                    <a:ln>
                      <a:noFill/>
                    </a:ln>
                  </pic:spPr>
                </pic:pic>
              </a:graphicData>
            </a:graphic>
          </wp:inline>
        </w:drawing>
      </w:r>
    </w:p>
    <w:p w:rsidR="00982B46" w:rsidRPr="00982B46" w:rsidRDefault="00982B46" w:rsidP="00982B46">
      <w:pPr>
        <w:spacing w:after="0" w:line="240" w:lineRule="auto"/>
        <w:rPr>
          <w:rFonts w:ascii="Times New Roman" w:eastAsia="Times New Roman" w:hAnsi="Times New Roman"/>
        </w:rPr>
      </w:pPr>
      <w:r w:rsidRPr="00982B46">
        <w:rPr>
          <w:rFonts w:ascii="Times New Roman" w:eastAsia="Times New Roman" w:hAnsi="Times New Roman"/>
          <w:bdr w:val="single" w:sz="18" w:space="0" w:color="F5A623" w:frame="1"/>
        </w:rPr>
        <w:t> </w:t>
      </w:r>
      <w:r w:rsidRPr="00982B46">
        <w:rPr>
          <w:rFonts w:ascii="Times New Roman" w:eastAsia="Times New Roman" w:hAnsi="Times New Roman"/>
        </w:rPr>
        <w:t> </w:t>
      </w:r>
      <w:hyperlink r:id="rId9" w:tooltip="Mortgage loan" w:history="1">
        <w:r w:rsidRPr="00982B46">
          <w:rPr>
            <w:rFonts w:ascii="Times New Roman" w:eastAsia="Times New Roman" w:hAnsi="Times New Roman"/>
            <w:color w:val="3366CC"/>
            <w:u w:val="single"/>
          </w:rPr>
          <w:t>30 year mortgage average</w:t>
        </w:r>
      </w:hyperlink>
    </w:p>
    <w:p w:rsidR="00982B46" w:rsidRPr="00982B46" w:rsidRDefault="00982B46" w:rsidP="00982B46">
      <w:pPr>
        <w:spacing w:after="0" w:line="240" w:lineRule="auto"/>
        <w:rPr>
          <w:rFonts w:ascii="Times New Roman" w:eastAsia="Times New Roman" w:hAnsi="Times New Roman"/>
        </w:rPr>
      </w:pPr>
      <w:r w:rsidRPr="00982B46">
        <w:rPr>
          <w:rFonts w:ascii="Times New Roman" w:eastAsia="Times New Roman" w:hAnsi="Times New Roman"/>
          <w:bdr w:val="single" w:sz="18" w:space="0" w:color="F8E71C" w:frame="1"/>
        </w:rPr>
        <w:t> </w:t>
      </w:r>
      <w:r w:rsidRPr="00982B46">
        <w:rPr>
          <w:rFonts w:ascii="Times New Roman" w:eastAsia="Times New Roman" w:hAnsi="Times New Roman"/>
        </w:rPr>
        <w:t> </w:t>
      </w:r>
      <w:hyperlink r:id="rId10" w:tooltip="Treasury bond" w:history="1">
        <w:r w:rsidRPr="00982B46">
          <w:rPr>
            <w:rFonts w:ascii="Times New Roman" w:eastAsia="Times New Roman" w:hAnsi="Times New Roman"/>
            <w:color w:val="3366CC"/>
            <w:u w:val="single"/>
          </w:rPr>
          <w:t xml:space="preserve">30 Year Treasury </w:t>
        </w:r>
        <w:proofErr w:type="gramStart"/>
        <w:r w:rsidRPr="00982B46">
          <w:rPr>
            <w:rFonts w:ascii="Times New Roman" w:eastAsia="Times New Roman" w:hAnsi="Times New Roman"/>
            <w:color w:val="3366CC"/>
            <w:u w:val="single"/>
          </w:rPr>
          <w:t>Bond</w:t>
        </w:r>
        <w:proofErr w:type="gramEnd"/>
      </w:hyperlink>
    </w:p>
    <w:p w:rsidR="00982B46" w:rsidRPr="00982B46" w:rsidRDefault="00982B46" w:rsidP="00982B46">
      <w:pPr>
        <w:spacing w:after="0" w:line="240" w:lineRule="auto"/>
        <w:rPr>
          <w:rFonts w:ascii="Times New Roman" w:eastAsia="Times New Roman" w:hAnsi="Times New Roman"/>
        </w:rPr>
      </w:pPr>
      <w:r w:rsidRPr="00982B46">
        <w:rPr>
          <w:rFonts w:ascii="Times New Roman" w:eastAsia="Times New Roman" w:hAnsi="Times New Roman"/>
          <w:bdr w:val="single" w:sz="18" w:space="0" w:color="000000" w:frame="1"/>
        </w:rPr>
        <w:t> </w:t>
      </w:r>
      <w:r w:rsidRPr="00982B46">
        <w:rPr>
          <w:rFonts w:ascii="Times New Roman" w:eastAsia="Times New Roman" w:hAnsi="Times New Roman"/>
        </w:rPr>
        <w:t xml:space="preserve">  10 Year Treasury </w:t>
      </w:r>
      <w:proofErr w:type="gramStart"/>
      <w:r w:rsidRPr="00982B46">
        <w:rPr>
          <w:rFonts w:ascii="Times New Roman" w:eastAsia="Times New Roman" w:hAnsi="Times New Roman"/>
        </w:rPr>
        <w:t>Bond</w:t>
      </w:r>
      <w:proofErr w:type="gramEnd"/>
    </w:p>
    <w:p w:rsidR="00982B46" w:rsidRPr="00982B46" w:rsidRDefault="00982B46" w:rsidP="00982B46">
      <w:pPr>
        <w:spacing w:after="0" w:line="240" w:lineRule="auto"/>
        <w:rPr>
          <w:rFonts w:ascii="Times New Roman" w:eastAsia="Times New Roman" w:hAnsi="Times New Roman"/>
        </w:rPr>
      </w:pPr>
      <w:r w:rsidRPr="00982B46">
        <w:rPr>
          <w:rFonts w:ascii="Times New Roman" w:eastAsia="Times New Roman" w:hAnsi="Times New Roman"/>
          <w:bdr w:val="single" w:sz="18" w:space="0" w:color="9013FE" w:frame="1"/>
        </w:rPr>
        <w:t> </w:t>
      </w:r>
      <w:r w:rsidRPr="00982B46">
        <w:rPr>
          <w:rFonts w:ascii="Times New Roman" w:eastAsia="Times New Roman" w:hAnsi="Times New Roman"/>
        </w:rPr>
        <w:t xml:space="preserve">  2 Year Treasury </w:t>
      </w:r>
      <w:proofErr w:type="gramStart"/>
      <w:r w:rsidRPr="00982B46">
        <w:rPr>
          <w:rFonts w:ascii="Times New Roman" w:eastAsia="Times New Roman" w:hAnsi="Times New Roman"/>
        </w:rPr>
        <w:t>Bond</w:t>
      </w:r>
      <w:proofErr w:type="gramEnd"/>
    </w:p>
    <w:p w:rsidR="00982B46" w:rsidRPr="00982B46" w:rsidRDefault="00982B46" w:rsidP="00982B46">
      <w:pPr>
        <w:spacing w:after="0" w:line="240" w:lineRule="auto"/>
        <w:rPr>
          <w:rFonts w:ascii="Times New Roman" w:eastAsia="Times New Roman" w:hAnsi="Times New Roman"/>
        </w:rPr>
      </w:pPr>
      <w:r w:rsidRPr="00982B46">
        <w:rPr>
          <w:rFonts w:ascii="Times New Roman" w:eastAsia="Times New Roman" w:hAnsi="Times New Roman"/>
          <w:bdr w:val="single" w:sz="18" w:space="0" w:color="4A90E2" w:frame="1"/>
        </w:rPr>
        <w:t> </w:t>
      </w:r>
      <w:r w:rsidRPr="00982B46">
        <w:rPr>
          <w:rFonts w:ascii="Times New Roman" w:eastAsia="Times New Roman" w:hAnsi="Times New Roman"/>
        </w:rPr>
        <w:t xml:space="preserve">  3 month Treasury </w:t>
      </w:r>
      <w:proofErr w:type="gramStart"/>
      <w:r w:rsidRPr="00982B46">
        <w:rPr>
          <w:rFonts w:ascii="Times New Roman" w:eastAsia="Times New Roman" w:hAnsi="Times New Roman"/>
        </w:rPr>
        <w:t>Bond</w:t>
      </w:r>
      <w:proofErr w:type="gramEnd"/>
    </w:p>
    <w:p w:rsidR="00982B46" w:rsidRPr="00982B46" w:rsidRDefault="00982B46" w:rsidP="00982B46">
      <w:pPr>
        <w:spacing w:after="0" w:line="240" w:lineRule="auto"/>
        <w:rPr>
          <w:rFonts w:ascii="Times New Roman" w:eastAsia="Times New Roman" w:hAnsi="Times New Roman"/>
        </w:rPr>
      </w:pPr>
      <w:r w:rsidRPr="00982B46">
        <w:rPr>
          <w:rFonts w:ascii="Times New Roman" w:eastAsia="Times New Roman" w:hAnsi="Times New Roman"/>
          <w:bdr w:val="single" w:sz="24" w:space="0" w:color="D0021B" w:frame="1"/>
        </w:rPr>
        <w:t> </w:t>
      </w:r>
      <w:r w:rsidRPr="00982B46">
        <w:rPr>
          <w:rFonts w:ascii="Times New Roman" w:eastAsia="Times New Roman" w:hAnsi="Times New Roman"/>
        </w:rPr>
        <w:t>  Effective Federal Funds Rate</w:t>
      </w:r>
    </w:p>
    <w:p w:rsidR="00982B46" w:rsidRPr="00982B46" w:rsidRDefault="00982B46" w:rsidP="00982B46">
      <w:pPr>
        <w:spacing w:after="0" w:line="240" w:lineRule="auto"/>
        <w:rPr>
          <w:rFonts w:ascii="Times New Roman" w:eastAsia="Times New Roman" w:hAnsi="Times New Roman"/>
        </w:rPr>
      </w:pPr>
      <w:r w:rsidRPr="00982B46">
        <w:rPr>
          <w:rFonts w:ascii="Times New Roman" w:eastAsia="Times New Roman" w:hAnsi="Times New Roman"/>
          <w:bdr w:val="single" w:sz="24" w:space="0" w:color="E786F9" w:frame="1"/>
        </w:rPr>
        <w:t> </w:t>
      </w:r>
      <w:r w:rsidRPr="00982B46">
        <w:rPr>
          <w:rFonts w:ascii="Times New Roman" w:eastAsia="Times New Roman" w:hAnsi="Times New Roman"/>
        </w:rPr>
        <w:t>  </w:t>
      </w:r>
      <w:hyperlink r:id="rId11" w:tooltip="United States Consumer Price Index" w:history="1">
        <w:r w:rsidRPr="00982B46">
          <w:rPr>
            <w:rFonts w:ascii="Times New Roman" w:eastAsia="Times New Roman" w:hAnsi="Times New Roman"/>
            <w:color w:val="3366CC"/>
            <w:u w:val="single"/>
          </w:rPr>
          <w:t>CPI inflation</w:t>
        </w:r>
      </w:hyperlink>
      <w:r w:rsidRPr="00982B46">
        <w:rPr>
          <w:rFonts w:ascii="Times New Roman" w:eastAsia="Times New Roman" w:hAnsi="Times New Roman"/>
        </w:rPr>
        <w:t> year/year</w:t>
      </w:r>
    </w:p>
    <w:p w:rsidR="00982B46" w:rsidRPr="00982B46" w:rsidRDefault="00982B46" w:rsidP="00982B46">
      <w:pPr>
        <w:spacing w:after="0" w:line="240" w:lineRule="auto"/>
        <w:rPr>
          <w:rFonts w:ascii="Times New Roman" w:eastAsia="Times New Roman" w:hAnsi="Times New Roman"/>
        </w:rPr>
      </w:pPr>
      <w:r w:rsidRPr="00982B46">
        <w:rPr>
          <w:rFonts w:ascii="Times New Roman" w:eastAsia="Times New Roman" w:hAnsi="Times New Roman"/>
          <w:color w:val="000000"/>
          <w:bdr w:val="single" w:sz="6" w:space="0" w:color="000000" w:frame="1"/>
          <w:shd w:val="clear" w:color="auto" w:fill="D3D3D3"/>
        </w:rPr>
        <w:t> </w:t>
      </w:r>
      <w:r w:rsidRPr="00982B46">
        <w:rPr>
          <w:rFonts w:ascii="Times New Roman" w:eastAsia="Times New Roman" w:hAnsi="Times New Roman"/>
        </w:rPr>
        <w:t> </w:t>
      </w:r>
      <w:hyperlink r:id="rId12" w:tooltip="List of recessions in the United States" w:history="1">
        <w:proofErr w:type="gramStart"/>
        <w:r w:rsidRPr="00982B46">
          <w:rPr>
            <w:rFonts w:ascii="Times New Roman" w:eastAsia="Times New Roman" w:hAnsi="Times New Roman"/>
            <w:color w:val="3366CC"/>
            <w:u w:val="single"/>
          </w:rPr>
          <w:t>Recessions</w:t>
        </w:r>
        <w:proofErr w:type="gramEnd"/>
      </w:hyperlink>
      <w:r w:rsidRPr="00982B46">
        <w:rPr>
          <w:rFonts w:ascii="Times New Roman" w:eastAsia="Times New Roman" w:hAnsi="Times New Roman"/>
          <w:noProof/>
          <w:color w:val="3366CC"/>
          <w:bdr w:val="none" w:sz="0" w:space="0" w:color="auto" w:frame="1"/>
        </w:rPr>
        <w:drawing>
          <wp:inline distT="0" distB="0" distL="0" distR="0">
            <wp:extent cx="2476500" cy="647700"/>
            <wp:effectExtent l="0" t="0" r="0" b="0"/>
            <wp:docPr id="2" name="Picture 2" descr="https://upload.wikimedia.org/wikipedia/commons/thumb/7/7b/M2%2C_CPI%2C_PCE.webp/260px-M2%2C_CPI%2C_PCE.webp.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7/7b/M2%2C_CPI%2C_PCE.webp/260px-M2%2C_CPI%2C_PCE.webp.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0" cy="647700"/>
                    </a:xfrm>
                    <a:prstGeom prst="rect">
                      <a:avLst/>
                    </a:prstGeom>
                    <a:noFill/>
                    <a:ln>
                      <a:noFill/>
                    </a:ln>
                  </pic:spPr>
                </pic:pic>
              </a:graphicData>
            </a:graphic>
          </wp:inline>
        </w:drawing>
      </w:r>
      <w:r w:rsidRPr="00982B46">
        <w:rPr>
          <w:rFonts w:ascii="Times New Roman" w:eastAsia="Times New Roman" w:hAnsi="Times New Roman"/>
        </w:rPr>
        <w:t>(Percent change from a year earlier)</w:t>
      </w:r>
    </w:p>
    <w:p w:rsidR="00982B46" w:rsidRPr="00982B46" w:rsidRDefault="00982B46" w:rsidP="00982B46">
      <w:pPr>
        <w:spacing w:after="0" w:line="240" w:lineRule="auto"/>
        <w:rPr>
          <w:rFonts w:ascii="Times New Roman" w:eastAsia="Times New Roman" w:hAnsi="Times New Roman"/>
        </w:rPr>
      </w:pPr>
      <w:r w:rsidRPr="00982B46">
        <w:rPr>
          <w:rFonts w:ascii="Times New Roman" w:eastAsia="Times New Roman" w:hAnsi="Times New Roman"/>
          <w:bdr w:val="single" w:sz="24" w:space="0" w:color="4572A7" w:frame="1"/>
        </w:rPr>
        <w:t> </w:t>
      </w:r>
      <w:r w:rsidRPr="00982B46">
        <w:rPr>
          <w:rFonts w:ascii="Times New Roman" w:eastAsia="Times New Roman" w:hAnsi="Times New Roman"/>
        </w:rPr>
        <w:t> </w:t>
      </w:r>
      <w:hyperlink r:id="rId15" w:tooltip="Money supply" w:history="1">
        <w:r w:rsidRPr="00982B46">
          <w:rPr>
            <w:rFonts w:ascii="Times New Roman" w:eastAsia="Times New Roman" w:hAnsi="Times New Roman"/>
            <w:color w:val="3366CC"/>
            <w:u w:val="single"/>
          </w:rPr>
          <w:t>M2 money supply</w:t>
        </w:r>
      </w:hyperlink>
    </w:p>
    <w:p w:rsidR="00982B46" w:rsidRPr="00982B46" w:rsidRDefault="00982B46" w:rsidP="00982B46">
      <w:pPr>
        <w:spacing w:after="0" w:line="240" w:lineRule="auto"/>
        <w:rPr>
          <w:rFonts w:ascii="Times New Roman" w:eastAsia="Times New Roman" w:hAnsi="Times New Roman"/>
        </w:rPr>
      </w:pPr>
      <w:r w:rsidRPr="00982B46">
        <w:rPr>
          <w:rFonts w:ascii="Times New Roman" w:eastAsia="Times New Roman" w:hAnsi="Times New Roman"/>
          <w:bdr w:val="single" w:sz="24" w:space="0" w:color="89A54E" w:frame="1"/>
        </w:rPr>
        <w:t> </w:t>
      </w:r>
      <w:r w:rsidRPr="00982B46">
        <w:rPr>
          <w:rFonts w:ascii="Times New Roman" w:eastAsia="Times New Roman" w:hAnsi="Times New Roman"/>
        </w:rPr>
        <w:t> </w:t>
      </w:r>
      <w:hyperlink r:id="rId16" w:tooltip="Consumer price index" w:history="1">
        <w:r w:rsidRPr="00982B46">
          <w:rPr>
            <w:rFonts w:ascii="Times New Roman" w:eastAsia="Times New Roman" w:hAnsi="Times New Roman"/>
            <w:color w:val="3366CC"/>
            <w:u w:val="single"/>
          </w:rPr>
          <w:t>CPI</w:t>
        </w:r>
      </w:hyperlink>
    </w:p>
    <w:p w:rsidR="00982B46" w:rsidRPr="00982B46" w:rsidRDefault="00982B46" w:rsidP="00982B46">
      <w:pPr>
        <w:spacing w:after="0" w:line="240" w:lineRule="auto"/>
        <w:rPr>
          <w:rFonts w:ascii="Times New Roman" w:eastAsia="Times New Roman" w:hAnsi="Times New Roman"/>
        </w:rPr>
      </w:pPr>
      <w:r w:rsidRPr="00982B46">
        <w:rPr>
          <w:rFonts w:ascii="Times New Roman" w:eastAsia="Times New Roman" w:hAnsi="Times New Roman"/>
          <w:bdr w:val="single" w:sz="24" w:space="0" w:color="80699B" w:frame="1"/>
        </w:rPr>
        <w:t> </w:t>
      </w:r>
      <w:r w:rsidRPr="00982B46">
        <w:rPr>
          <w:rFonts w:ascii="Times New Roman" w:eastAsia="Times New Roman" w:hAnsi="Times New Roman"/>
        </w:rPr>
        <w:t> Core CPI</w:t>
      </w:r>
    </w:p>
    <w:p w:rsidR="00982B46" w:rsidRPr="00982B46" w:rsidRDefault="00982B46" w:rsidP="00982B46">
      <w:pPr>
        <w:shd w:val="clear" w:color="auto" w:fill="FFFFFF"/>
        <w:spacing w:before="120" w:after="120" w:line="240" w:lineRule="auto"/>
        <w:rPr>
          <w:rFonts w:eastAsia="Times New Roman" w:cs="Arial"/>
          <w:color w:val="202122"/>
        </w:rPr>
      </w:pPr>
      <w:r w:rsidRPr="00982B46">
        <w:rPr>
          <w:rFonts w:eastAsia="Times New Roman" w:cs="Arial"/>
          <w:color w:val="202122"/>
        </w:rPr>
        <w:t>The U.S. Federal Reserve System held between $700 billion and $800 billion of Treasury notes on its balance sheet before the recession.</w:t>
      </w:r>
    </w:p>
    <w:p w:rsidR="00982B46" w:rsidRPr="00982B46" w:rsidRDefault="00982B46" w:rsidP="00982B46">
      <w:pPr>
        <w:shd w:val="clear" w:color="auto" w:fill="FFFFFF"/>
        <w:spacing w:before="120" w:after="120" w:line="240" w:lineRule="auto"/>
        <w:rPr>
          <w:rFonts w:eastAsia="Times New Roman" w:cs="Arial"/>
          <w:color w:val="202122"/>
        </w:rPr>
      </w:pPr>
      <w:r w:rsidRPr="00982B46">
        <w:rPr>
          <w:rFonts w:eastAsia="Times New Roman" w:cs="Arial"/>
          <w:b/>
          <w:bCs/>
          <w:color w:val="202122"/>
        </w:rPr>
        <w:t xml:space="preserve">November 2008: </w:t>
      </w:r>
      <w:r w:rsidRPr="00982B46">
        <w:rPr>
          <w:rFonts w:eastAsia="Times New Roman" w:cs="Arial"/>
          <w:b/>
          <w:bCs/>
          <w:color w:val="202122"/>
          <w:highlight w:val="cyan"/>
        </w:rPr>
        <w:t>QE1</w:t>
      </w:r>
      <w:r w:rsidRPr="00982B46">
        <w:rPr>
          <w:rFonts w:eastAsia="Times New Roman" w:cs="Arial"/>
          <w:b/>
          <w:bCs/>
          <w:color w:val="202122"/>
        </w:rPr>
        <w:t>.</w:t>
      </w:r>
      <w:r w:rsidRPr="00982B46">
        <w:rPr>
          <w:rFonts w:eastAsia="Times New Roman" w:cs="Arial"/>
          <w:color w:val="202122"/>
        </w:rPr>
        <w:t> </w:t>
      </w:r>
      <w:r w:rsidRPr="00982B46">
        <w:rPr>
          <w:rFonts w:eastAsia="Times New Roman" w:cs="Arial"/>
          <w:color w:val="202122"/>
          <w:highlight w:val="yellow"/>
        </w:rPr>
        <w:t>In late November 2008, the Federal Reserve started buying $600 billion in </w:t>
      </w:r>
      <w:hyperlink r:id="rId17" w:tooltip="Mortgage-backed security" w:history="1">
        <w:r w:rsidRPr="00982B46">
          <w:rPr>
            <w:rFonts w:eastAsia="Times New Roman" w:cs="Arial"/>
            <w:color w:val="3366CC"/>
            <w:highlight w:val="yellow"/>
            <w:u w:val="single"/>
          </w:rPr>
          <w:t>mortgage-backed securities</w:t>
        </w:r>
      </w:hyperlink>
      <w:r w:rsidRPr="00982B46">
        <w:rPr>
          <w:rFonts w:eastAsia="Times New Roman" w:cs="Arial"/>
          <w:color w:val="202122"/>
          <w:highlight w:val="yellow"/>
        </w:rPr>
        <w:t>.</w:t>
      </w:r>
      <w:hyperlink r:id="rId18" w:anchor="cite_note-37" w:history="1">
        <w:r w:rsidRPr="00982B46">
          <w:rPr>
            <w:rFonts w:eastAsia="Times New Roman" w:cs="Arial"/>
            <w:color w:val="3366CC"/>
            <w:highlight w:val="yellow"/>
            <w:u w:val="single"/>
            <w:vertAlign w:val="superscript"/>
          </w:rPr>
          <w:t>[37]</w:t>
        </w:r>
      </w:hyperlink>
      <w:r w:rsidRPr="00982B46">
        <w:rPr>
          <w:rFonts w:eastAsia="Times New Roman" w:cs="Arial"/>
          <w:color w:val="202122"/>
          <w:highlight w:val="yellow"/>
        </w:rPr>
        <w:t> By March 2009, it held $1.75 trillion of bank debt, mortgage-backed securities, and Treasury notes; this amount reached a peak of $2.1 trillion in June 2010</w:t>
      </w:r>
      <w:r w:rsidRPr="00982B46">
        <w:rPr>
          <w:rFonts w:eastAsia="Times New Roman" w:cs="Arial"/>
          <w:color w:val="202122"/>
        </w:rPr>
        <w:t>. Further purchases were halted as the economy started to improve, but resumed in August 2010 when the Fed decided the economy was not growing robustly. After the halt in June, holdings started falling naturally as debt matured and were projected to fall to $1.7 trillion by 2012. The Fed's revised goal became to keep holdings at $2.054 trillion. To maintain that level, the Fed bought $30 billion in two- to ten-year Treasury notes every month.</w:t>
      </w:r>
      <w:hyperlink r:id="rId19" w:anchor="cite_note-38" w:history="1">
        <w:r w:rsidRPr="00982B46">
          <w:rPr>
            <w:rFonts w:eastAsia="Times New Roman" w:cs="Arial"/>
            <w:color w:val="3366CC"/>
            <w:u w:val="single"/>
            <w:vertAlign w:val="superscript"/>
          </w:rPr>
          <w:t>[38]</w:t>
        </w:r>
      </w:hyperlink>
    </w:p>
    <w:p w:rsidR="00982B46" w:rsidRPr="00982B46" w:rsidRDefault="00982B46" w:rsidP="00982B46">
      <w:pPr>
        <w:shd w:val="clear" w:color="auto" w:fill="FFFFFF"/>
        <w:spacing w:before="120" w:after="120" w:line="240" w:lineRule="auto"/>
        <w:rPr>
          <w:rFonts w:eastAsia="Times New Roman" w:cs="Arial"/>
          <w:color w:val="202122"/>
        </w:rPr>
      </w:pPr>
      <w:r w:rsidRPr="00982B46">
        <w:rPr>
          <w:rFonts w:eastAsia="Times New Roman" w:cs="Arial"/>
          <w:b/>
          <w:bCs/>
          <w:color w:val="202122"/>
        </w:rPr>
        <w:t xml:space="preserve">November 2010: </w:t>
      </w:r>
      <w:r w:rsidRPr="00982B46">
        <w:rPr>
          <w:rFonts w:eastAsia="Times New Roman" w:cs="Arial"/>
          <w:b/>
          <w:bCs/>
          <w:color w:val="202122"/>
          <w:highlight w:val="cyan"/>
        </w:rPr>
        <w:t>QE2</w:t>
      </w:r>
      <w:r w:rsidRPr="00982B46">
        <w:rPr>
          <w:rFonts w:eastAsia="Times New Roman" w:cs="Arial"/>
          <w:b/>
          <w:bCs/>
          <w:color w:val="202122"/>
        </w:rPr>
        <w:t>.</w:t>
      </w:r>
      <w:r w:rsidRPr="00982B46">
        <w:rPr>
          <w:rFonts w:eastAsia="Times New Roman" w:cs="Arial"/>
          <w:color w:val="202122"/>
        </w:rPr>
        <w:t> In November 2010, the Fed announced a second round of quantitative easing</w:t>
      </w:r>
      <w:r w:rsidRPr="00982B46">
        <w:rPr>
          <w:rFonts w:eastAsia="Times New Roman" w:cs="Arial"/>
          <w:color w:val="202122"/>
          <w:highlight w:val="yellow"/>
        </w:rPr>
        <w:t>, buying $600 billion of </w:t>
      </w:r>
      <w:hyperlink r:id="rId20" w:tooltip="United States Treasury security" w:history="1">
        <w:r w:rsidRPr="00982B46">
          <w:rPr>
            <w:rFonts w:eastAsia="Times New Roman" w:cs="Arial"/>
            <w:b/>
            <w:color w:val="3366CC"/>
            <w:highlight w:val="yellow"/>
            <w:u w:val="single"/>
          </w:rPr>
          <w:t>Treasury securities</w:t>
        </w:r>
      </w:hyperlink>
      <w:r w:rsidRPr="00982B46">
        <w:rPr>
          <w:rFonts w:eastAsia="Times New Roman" w:cs="Arial"/>
          <w:color w:val="202122"/>
          <w:highlight w:val="yellow"/>
        </w:rPr>
        <w:t> by the end of the second quarter of 2011</w:t>
      </w:r>
      <w:r w:rsidRPr="00982B46">
        <w:rPr>
          <w:rFonts w:eastAsia="Times New Roman" w:cs="Arial"/>
          <w:color w:val="202122"/>
        </w:rPr>
        <w:t>.</w:t>
      </w:r>
      <w:hyperlink r:id="rId21" w:anchor="cite_note-39" w:history="1">
        <w:r w:rsidRPr="00982B46">
          <w:rPr>
            <w:rFonts w:eastAsia="Times New Roman" w:cs="Arial"/>
            <w:color w:val="3366CC"/>
            <w:u w:val="single"/>
            <w:vertAlign w:val="superscript"/>
          </w:rPr>
          <w:t>[39</w:t>
        </w:r>
        <w:proofErr w:type="gramStart"/>
        <w:r w:rsidRPr="00982B46">
          <w:rPr>
            <w:rFonts w:eastAsia="Times New Roman" w:cs="Arial"/>
            <w:color w:val="3366CC"/>
            <w:u w:val="single"/>
            <w:vertAlign w:val="superscript"/>
          </w:rPr>
          <w:t>]</w:t>
        </w:r>
        <w:proofErr w:type="gramEnd"/>
      </w:hyperlink>
      <w:hyperlink r:id="rId22" w:anchor="cite_note-40" w:history="1">
        <w:r w:rsidRPr="00982B46">
          <w:rPr>
            <w:rFonts w:eastAsia="Times New Roman" w:cs="Arial"/>
            <w:color w:val="3366CC"/>
            <w:u w:val="single"/>
            <w:vertAlign w:val="superscript"/>
          </w:rPr>
          <w:t>[40]</w:t>
        </w:r>
      </w:hyperlink>
      <w:r w:rsidRPr="00982B46">
        <w:rPr>
          <w:rFonts w:eastAsia="Times New Roman" w:cs="Arial"/>
          <w:color w:val="202122"/>
        </w:rPr>
        <w:t> The expression "QE2" became a ubiquitous nickname in 2010, used to refer to this second round of quantitative easing by US central banks.</w:t>
      </w:r>
      <w:hyperlink r:id="rId23" w:anchor="cite_note-41" w:history="1">
        <w:r w:rsidRPr="00982B46">
          <w:rPr>
            <w:rFonts w:eastAsia="Times New Roman" w:cs="Arial"/>
            <w:color w:val="3366CC"/>
            <w:u w:val="single"/>
            <w:vertAlign w:val="superscript"/>
          </w:rPr>
          <w:t>[41]</w:t>
        </w:r>
      </w:hyperlink>
      <w:r w:rsidRPr="00982B46">
        <w:rPr>
          <w:rFonts w:eastAsia="Times New Roman" w:cs="Arial"/>
          <w:color w:val="202122"/>
        </w:rPr>
        <w:t> Retrospectively, the round of quantitative easing preceding QE2 was called "QE1".</w:t>
      </w:r>
      <w:hyperlink r:id="rId24" w:anchor="cite_note-42" w:history="1">
        <w:r w:rsidRPr="00982B46">
          <w:rPr>
            <w:rFonts w:eastAsia="Times New Roman" w:cs="Arial"/>
            <w:color w:val="3366CC"/>
            <w:u w:val="single"/>
            <w:vertAlign w:val="superscript"/>
          </w:rPr>
          <w:t>[42</w:t>
        </w:r>
        <w:proofErr w:type="gramStart"/>
        <w:r w:rsidRPr="00982B46">
          <w:rPr>
            <w:rFonts w:eastAsia="Times New Roman" w:cs="Arial"/>
            <w:color w:val="3366CC"/>
            <w:u w:val="single"/>
            <w:vertAlign w:val="superscript"/>
          </w:rPr>
          <w:t>]</w:t>
        </w:r>
        <w:proofErr w:type="gramEnd"/>
      </w:hyperlink>
      <w:hyperlink r:id="rId25" w:anchor="cite_note-43" w:history="1">
        <w:r w:rsidRPr="00982B46">
          <w:rPr>
            <w:rFonts w:eastAsia="Times New Roman" w:cs="Arial"/>
            <w:color w:val="3366CC"/>
            <w:u w:val="single"/>
            <w:vertAlign w:val="superscript"/>
          </w:rPr>
          <w:t>[43]</w:t>
        </w:r>
      </w:hyperlink>
    </w:p>
    <w:p w:rsidR="00982B46" w:rsidRPr="00982B46" w:rsidRDefault="00982B46" w:rsidP="00982B46">
      <w:pPr>
        <w:shd w:val="clear" w:color="auto" w:fill="FFFFFF"/>
        <w:spacing w:before="120" w:after="120" w:line="240" w:lineRule="auto"/>
        <w:rPr>
          <w:rFonts w:eastAsia="Times New Roman" w:cs="Arial"/>
          <w:color w:val="202122"/>
        </w:rPr>
      </w:pPr>
      <w:r w:rsidRPr="00982B46">
        <w:rPr>
          <w:rFonts w:eastAsia="Times New Roman" w:cs="Arial"/>
          <w:b/>
          <w:bCs/>
          <w:color w:val="202122"/>
        </w:rPr>
        <w:lastRenderedPageBreak/>
        <w:t xml:space="preserve">September 2012: </w:t>
      </w:r>
      <w:r w:rsidRPr="00982B46">
        <w:rPr>
          <w:rFonts w:eastAsia="Times New Roman" w:cs="Arial"/>
          <w:b/>
          <w:bCs/>
          <w:color w:val="202122"/>
          <w:highlight w:val="cyan"/>
        </w:rPr>
        <w:t>QE3</w:t>
      </w:r>
      <w:r w:rsidRPr="00982B46">
        <w:rPr>
          <w:rFonts w:eastAsia="Times New Roman" w:cs="Arial"/>
          <w:b/>
          <w:bCs/>
          <w:color w:val="202122"/>
        </w:rPr>
        <w:t>.</w:t>
      </w:r>
      <w:r w:rsidRPr="00982B46">
        <w:rPr>
          <w:rFonts w:eastAsia="Times New Roman" w:cs="Arial"/>
          <w:color w:val="202122"/>
        </w:rPr>
        <w:t> A third round of quantitative easing, "QE3", was announced on 13 September 2012. In an 11–1 vote, the Federal Reserve decided to launch a new $40 billion per month, open-ended bond purchasing program of agency mortgage-backed securities. Additionally, the </w:t>
      </w:r>
      <w:hyperlink r:id="rId26" w:tooltip="Federal Open Market Committee" w:history="1">
        <w:r w:rsidRPr="00982B46">
          <w:rPr>
            <w:rFonts w:eastAsia="Times New Roman" w:cs="Arial"/>
            <w:color w:val="3366CC"/>
            <w:u w:val="single"/>
          </w:rPr>
          <w:t>Federal Open Market Committee</w:t>
        </w:r>
      </w:hyperlink>
      <w:r w:rsidRPr="00982B46">
        <w:rPr>
          <w:rFonts w:eastAsia="Times New Roman" w:cs="Arial"/>
          <w:color w:val="202122"/>
        </w:rPr>
        <w:t> (</w:t>
      </w:r>
      <w:proofErr w:type="spellStart"/>
      <w:r w:rsidRPr="00982B46">
        <w:rPr>
          <w:rFonts w:eastAsia="Times New Roman" w:cs="Arial"/>
          <w:color w:val="202122"/>
        </w:rPr>
        <w:t>FOMC</w:t>
      </w:r>
      <w:proofErr w:type="spellEnd"/>
      <w:r w:rsidRPr="00982B46">
        <w:rPr>
          <w:rFonts w:eastAsia="Times New Roman" w:cs="Arial"/>
          <w:color w:val="202122"/>
        </w:rPr>
        <w:t>) announced that it would likely maintain the </w:t>
      </w:r>
      <w:hyperlink r:id="rId27" w:tooltip="Federal funds rate" w:history="1">
        <w:r w:rsidRPr="00982B46">
          <w:rPr>
            <w:rFonts w:eastAsia="Times New Roman" w:cs="Arial"/>
            <w:color w:val="3366CC"/>
            <w:u w:val="single"/>
          </w:rPr>
          <w:t>federal funds rate</w:t>
        </w:r>
      </w:hyperlink>
      <w:r w:rsidRPr="00982B46">
        <w:rPr>
          <w:rFonts w:eastAsia="Times New Roman" w:cs="Arial"/>
          <w:color w:val="202122"/>
        </w:rPr>
        <w:t> near zero "at least through 2015".</w:t>
      </w:r>
      <w:hyperlink r:id="rId28" w:anchor="cite_note-qe3-44" w:history="1">
        <w:r w:rsidRPr="00982B46">
          <w:rPr>
            <w:rFonts w:eastAsia="Times New Roman" w:cs="Arial"/>
            <w:color w:val="3366CC"/>
            <w:u w:val="single"/>
            <w:vertAlign w:val="superscript"/>
          </w:rPr>
          <w:t>[44</w:t>
        </w:r>
        <w:proofErr w:type="gramStart"/>
        <w:r w:rsidRPr="00982B46">
          <w:rPr>
            <w:rFonts w:eastAsia="Times New Roman" w:cs="Arial"/>
            <w:color w:val="3366CC"/>
            <w:u w:val="single"/>
            <w:vertAlign w:val="superscript"/>
          </w:rPr>
          <w:t>]</w:t>
        </w:r>
        <w:proofErr w:type="gramEnd"/>
      </w:hyperlink>
      <w:hyperlink r:id="rId29" w:anchor="cite_note-45" w:history="1">
        <w:r w:rsidRPr="00982B46">
          <w:rPr>
            <w:rFonts w:eastAsia="Times New Roman" w:cs="Arial"/>
            <w:color w:val="3366CC"/>
            <w:u w:val="single"/>
            <w:vertAlign w:val="superscript"/>
          </w:rPr>
          <w:t>[45]</w:t>
        </w:r>
      </w:hyperlink>
      <w:r w:rsidRPr="00982B46">
        <w:rPr>
          <w:rFonts w:eastAsia="Times New Roman" w:cs="Arial"/>
          <w:color w:val="202122"/>
        </w:rPr>
        <w:t> According to NASDAQ.com, this is effectively a stimulus program that allows the Federal Reserve to relieve $40 billion per month of commercial housing market debt risk.</w:t>
      </w:r>
      <w:hyperlink r:id="rId30" w:anchor="cite_note-46" w:history="1">
        <w:r w:rsidRPr="00982B46">
          <w:rPr>
            <w:rFonts w:eastAsia="Times New Roman" w:cs="Arial"/>
            <w:color w:val="3366CC"/>
            <w:u w:val="single"/>
            <w:vertAlign w:val="superscript"/>
          </w:rPr>
          <w:t>[46]</w:t>
        </w:r>
      </w:hyperlink>
      <w:r w:rsidRPr="00982B46">
        <w:rPr>
          <w:rFonts w:eastAsia="Times New Roman" w:cs="Arial"/>
          <w:color w:val="202122"/>
        </w:rPr>
        <w:t> Because of its open-ended nature, QE3 has earned the popular nickname of "QE-Infinity".</w:t>
      </w:r>
      <w:hyperlink r:id="rId31" w:anchor="cite_note-47" w:history="1">
        <w:r w:rsidRPr="00982B46">
          <w:rPr>
            <w:rFonts w:eastAsia="Times New Roman" w:cs="Arial"/>
            <w:color w:val="3366CC"/>
            <w:u w:val="single"/>
            <w:vertAlign w:val="superscript"/>
          </w:rPr>
          <w:t>[47</w:t>
        </w:r>
        <w:proofErr w:type="gramStart"/>
        <w:r w:rsidRPr="00982B46">
          <w:rPr>
            <w:rFonts w:eastAsia="Times New Roman" w:cs="Arial"/>
            <w:color w:val="3366CC"/>
            <w:u w:val="single"/>
            <w:vertAlign w:val="superscript"/>
          </w:rPr>
          <w:t>]</w:t>
        </w:r>
        <w:proofErr w:type="gramEnd"/>
      </w:hyperlink>
      <w:r w:rsidRPr="00982B46">
        <w:rPr>
          <w:rFonts w:eastAsia="Times New Roman" w:cs="Arial"/>
          <w:color w:val="202122"/>
          <w:vertAlign w:val="superscript"/>
        </w:rPr>
        <w:t>[</w:t>
      </w:r>
      <w:hyperlink r:id="rId32" w:tooltip="Wikipedia:NOTRS" w:history="1">
        <w:r w:rsidRPr="00982B46">
          <w:rPr>
            <w:rFonts w:eastAsia="Times New Roman" w:cs="Arial"/>
            <w:i/>
            <w:iCs/>
            <w:color w:val="3366CC"/>
            <w:u w:val="single"/>
            <w:vertAlign w:val="superscript"/>
          </w:rPr>
          <w:t>better source needed</w:t>
        </w:r>
      </w:hyperlink>
      <w:r w:rsidRPr="00982B46">
        <w:rPr>
          <w:rFonts w:eastAsia="Times New Roman" w:cs="Arial"/>
          <w:color w:val="202122"/>
          <w:vertAlign w:val="superscript"/>
        </w:rPr>
        <w:t>]</w:t>
      </w:r>
      <w:r w:rsidRPr="00982B46">
        <w:rPr>
          <w:rFonts w:eastAsia="Times New Roman" w:cs="Arial"/>
          <w:color w:val="202122"/>
        </w:rPr>
        <w:t xml:space="preserve"> On 12 December 2012, the </w:t>
      </w:r>
      <w:proofErr w:type="spellStart"/>
      <w:r w:rsidRPr="00982B46">
        <w:rPr>
          <w:rFonts w:eastAsia="Times New Roman" w:cs="Arial"/>
          <w:color w:val="202122"/>
        </w:rPr>
        <w:t>FOMC</w:t>
      </w:r>
      <w:proofErr w:type="spellEnd"/>
      <w:r w:rsidRPr="00982B46">
        <w:rPr>
          <w:rFonts w:eastAsia="Times New Roman" w:cs="Arial"/>
          <w:color w:val="202122"/>
        </w:rPr>
        <w:t xml:space="preserve"> announced an increase in the amount of open-ended purchases from $40 billion to $85 billion per month.</w:t>
      </w:r>
      <w:hyperlink r:id="rId33" w:anchor="cite_note-48" w:history="1">
        <w:r w:rsidRPr="00982B46">
          <w:rPr>
            <w:rFonts w:eastAsia="Times New Roman" w:cs="Arial"/>
            <w:color w:val="3366CC"/>
            <w:u w:val="single"/>
            <w:vertAlign w:val="superscript"/>
          </w:rPr>
          <w:t>[48]</w:t>
        </w:r>
      </w:hyperlink>
    </w:p>
    <w:p w:rsidR="00982B46" w:rsidRPr="00982B46" w:rsidRDefault="00982B46" w:rsidP="00982B46">
      <w:pPr>
        <w:shd w:val="clear" w:color="auto" w:fill="FFFFFF"/>
        <w:spacing w:before="120" w:after="120" w:line="240" w:lineRule="auto"/>
        <w:rPr>
          <w:rFonts w:eastAsia="Times New Roman" w:cs="Arial"/>
          <w:color w:val="202122"/>
        </w:rPr>
      </w:pPr>
      <w:r w:rsidRPr="00982B46">
        <w:rPr>
          <w:rFonts w:eastAsia="Times New Roman" w:cs="Arial"/>
          <w:color w:val="202122"/>
        </w:rPr>
        <w:t>On 19 June 2013, </w:t>
      </w:r>
      <w:hyperlink r:id="rId34" w:tooltip="Ben Bernanke" w:history="1">
        <w:r w:rsidRPr="00982B46">
          <w:rPr>
            <w:rFonts w:eastAsia="Times New Roman" w:cs="Arial"/>
            <w:color w:val="3366CC"/>
            <w:u w:val="single"/>
          </w:rPr>
          <w:t>Ben Bernanke</w:t>
        </w:r>
      </w:hyperlink>
      <w:r w:rsidRPr="00982B46">
        <w:rPr>
          <w:rFonts w:eastAsia="Times New Roman" w:cs="Arial"/>
          <w:color w:val="202122"/>
        </w:rPr>
        <w:t> announced a "tapering" of some of the Fed's QE policies contingent upon continued positive economic data. Specifically, he said that the Fed could scale back its bond purchases from $85 billion to $65 billion a month during the upcoming September 2013 policy meeting.</w:t>
      </w:r>
      <w:hyperlink r:id="rId35" w:anchor="cite_note-49" w:history="1">
        <w:r w:rsidRPr="00982B46">
          <w:rPr>
            <w:rFonts w:eastAsia="Times New Roman" w:cs="Arial"/>
            <w:color w:val="3366CC"/>
            <w:u w:val="single"/>
            <w:vertAlign w:val="superscript"/>
          </w:rPr>
          <w:t>[49</w:t>
        </w:r>
        <w:proofErr w:type="gramStart"/>
        <w:r w:rsidRPr="00982B46">
          <w:rPr>
            <w:rFonts w:eastAsia="Times New Roman" w:cs="Arial"/>
            <w:color w:val="3366CC"/>
            <w:u w:val="single"/>
            <w:vertAlign w:val="superscript"/>
          </w:rPr>
          <w:t>]</w:t>
        </w:r>
        <w:proofErr w:type="gramEnd"/>
      </w:hyperlink>
      <w:hyperlink r:id="rId36" w:anchor="cite_note-50" w:history="1">
        <w:r w:rsidRPr="00982B46">
          <w:rPr>
            <w:rFonts w:eastAsia="Times New Roman" w:cs="Arial"/>
            <w:color w:val="3366CC"/>
            <w:u w:val="single"/>
            <w:vertAlign w:val="superscript"/>
          </w:rPr>
          <w:t>[50]</w:t>
        </w:r>
      </w:hyperlink>
      <w:r w:rsidRPr="00982B46">
        <w:rPr>
          <w:rFonts w:eastAsia="Times New Roman" w:cs="Arial"/>
          <w:color w:val="202122"/>
        </w:rPr>
        <w:t> He also suggested that the bond-buying program could wrap up by mid-2014.</w:t>
      </w:r>
      <w:hyperlink r:id="rId37" w:anchor="cite_note-51" w:history="1">
        <w:r w:rsidRPr="00982B46">
          <w:rPr>
            <w:rFonts w:eastAsia="Times New Roman" w:cs="Arial"/>
            <w:color w:val="3366CC"/>
            <w:u w:val="single"/>
            <w:vertAlign w:val="superscript"/>
          </w:rPr>
          <w:t>[51]</w:t>
        </w:r>
      </w:hyperlink>
      <w:r w:rsidRPr="00982B46">
        <w:rPr>
          <w:rFonts w:eastAsia="Times New Roman" w:cs="Arial"/>
          <w:color w:val="202122"/>
        </w:rPr>
        <w:t> While Bernanke did not announce an interest rate hike, he suggested that if inflation followed a 2% target rate and unemployment decreased to 6.5%, the Fed would likely start raising rates. The stock markets dropped by approximately 4.3% over the three trading days following Bernanke's announcement, with the Dow Jones dropping 659 points between 19 and 24 June, closing at 14,660 at the end of the day on 24 June.</w:t>
      </w:r>
      <w:hyperlink r:id="rId38" w:anchor="cite_note-52" w:history="1">
        <w:r w:rsidRPr="00982B46">
          <w:rPr>
            <w:rFonts w:eastAsia="Times New Roman" w:cs="Arial"/>
            <w:color w:val="3366CC"/>
            <w:u w:val="single"/>
            <w:vertAlign w:val="superscript"/>
          </w:rPr>
          <w:t>[52]</w:t>
        </w:r>
      </w:hyperlink>
      <w:r w:rsidRPr="00982B46">
        <w:rPr>
          <w:rFonts w:eastAsia="Times New Roman" w:cs="Arial"/>
          <w:color w:val="202122"/>
        </w:rPr>
        <w:t> On 18 September 2013, the Fed decided to hold off on scaling back its bond-buying program</w:t>
      </w:r>
      <w:proofErr w:type="gramStart"/>
      <w:r w:rsidRPr="00982B46">
        <w:rPr>
          <w:rFonts w:eastAsia="Times New Roman" w:cs="Arial"/>
          <w:color w:val="202122"/>
        </w:rPr>
        <w:t>,</w:t>
      </w:r>
      <w:proofErr w:type="gramEnd"/>
      <w:r w:rsidRPr="00982B46">
        <w:rPr>
          <w:rFonts w:eastAsia="Times New Roman" w:cs="Arial"/>
          <w:color w:val="202122"/>
          <w:vertAlign w:val="superscript"/>
        </w:rPr>
        <w:fldChar w:fldCharType="begin"/>
      </w:r>
      <w:r w:rsidRPr="00982B46">
        <w:rPr>
          <w:rFonts w:eastAsia="Times New Roman" w:cs="Arial"/>
          <w:color w:val="202122"/>
          <w:vertAlign w:val="superscript"/>
        </w:rPr>
        <w:instrText xml:space="preserve"> HYPERLINK "https://en.wikipedia.org/wiki/Quantitative_easing" \l "cite_note-53" </w:instrText>
      </w:r>
      <w:r w:rsidRPr="00982B46">
        <w:rPr>
          <w:rFonts w:eastAsia="Times New Roman" w:cs="Arial"/>
          <w:color w:val="202122"/>
          <w:vertAlign w:val="superscript"/>
        </w:rPr>
        <w:fldChar w:fldCharType="separate"/>
      </w:r>
      <w:r w:rsidRPr="00982B46">
        <w:rPr>
          <w:rFonts w:eastAsia="Times New Roman" w:cs="Arial"/>
          <w:color w:val="3366CC"/>
          <w:u w:val="single"/>
          <w:vertAlign w:val="superscript"/>
        </w:rPr>
        <w:t>[53]</w:t>
      </w:r>
      <w:r w:rsidRPr="00982B46">
        <w:rPr>
          <w:rFonts w:eastAsia="Times New Roman" w:cs="Arial"/>
          <w:color w:val="202122"/>
          <w:vertAlign w:val="superscript"/>
        </w:rPr>
        <w:fldChar w:fldCharType="end"/>
      </w:r>
      <w:r w:rsidRPr="00982B46">
        <w:rPr>
          <w:rFonts w:eastAsia="Times New Roman" w:cs="Arial"/>
          <w:color w:val="202122"/>
        </w:rPr>
        <w:t> and announced in December 2013 that it would begin to taper its purchases in January 2014.</w:t>
      </w:r>
      <w:hyperlink r:id="rId39" w:anchor="cite_note-54" w:history="1">
        <w:r w:rsidRPr="00982B46">
          <w:rPr>
            <w:rFonts w:eastAsia="Times New Roman" w:cs="Arial"/>
            <w:color w:val="3366CC"/>
            <w:u w:val="single"/>
            <w:vertAlign w:val="superscript"/>
          </w:rPr>
          <w:t>[54]</w:t>
        </w:r>
      </w:hyperlink>
      <w:r w:rsidRPr="00982B46">
        <w:rPr>
          <w:rFonts w:eastAsia="Times New Roman" w:cs="Arial"/>
          <w:color w:val="202122"/>
        </w:rPr>
        <w:t> Purchases were halted on 29 October 2014</w:t>
      </w:r>
      <w:hyperlink r:id="rId40" w:anchor="cite_note-55" w:history="1">
        <w:r w:rsidRPr="00982B46">
          <w:rPr>
            <w:rFonts w:eastAsia="Times New Roman" w:cs="Arial"/>
            <w:color w:val="3366CC"/>
            <w:u w:val="single"/>
            <w:vertAlign w:val="superscript"/>
          </w:rPr>
          <w:t>[55]</w:t>
        </w:r>
      </w:hyperlink>
      <w:r w:rsidRPr="00982B46">
        <w:rPr>
          <w:rFonts w:eastAsia="Times New Roman" w:cs="Arial"/>
          <w:color w:val="202122"/>
        </w:rPr>
        <w:t> </w:t>
      </w:r>
      <w:r w:rsidRPr="00982B46">
        <w:rPr>
          <w:rFonts w:eastAsia="Times New Roman" w:cs="Arial"/>
          <w:color w:val="202122"/>
          <w:highlight w:val="yellow"/>
        </w:rPr>
        <w:t>after accumulating $4.5 trillion in assets.</w:t>
      </w:r>
      <w:hyperlink r:id="rId41" w:anchor="cite_note-56" w:history="1">
        <w:r w:rsidRPr="00982B46">
          <w:rPr>
            <w:rFonts w:eastAsia="Times New Roman" w:cs="Arial"/>
            <w:color w:val="3366CC"/>
            <w:highlight w:val="yellow"/>
            <w:u w:val="single"/>
            <w:vertAlign w:val="superscript"/>
          </w:rPr>
          <w:t>[56]</w:t>
        </w:r>
      </w:hyperlink>
    </w:p>
    <w:p w:rsidR="00982B46" w:rsidRPr="00982B46" w:rsidRDefault="00982B46" w:rsidP="00982B46">
      <w:pPr>
        <w:shd w:val="clear" w:color="auto" w:fill="FFFFFF"/>
        <w:spacing w:before="120" w:after="120" w:line="240" w:lineRule="auto"/>
        <w:rPr>
          <w:rFonts w:eastAsia="Times New Roman" w:cs="Arial"/>
          <w:color w:val="202122"/>
        </w:rPr>
      </w:pPr>
      <w:r w:rsidRPr="00982B46">
        <w:rPr>
          <w:rFonts w:eastAsia="Times New Roman" w:cs="Arial"/>
          <w:b/>
          <w:bCs/>
          <w:color w:val="202122"/>
        </w:rPr>
        <w:t xml:space="preserve">March 2020: </w:t>
      </w:r>
      <w:r w:rsidRPr="00982B46">
        <w:rPr>
          <w:rFonts w:eastAsia="Times New Roman" w:cs="Arial"/>
          <w:b/>
          <w:bCs/>
          <w:color w:val="202122"/>
          <w:highlight w:val="cyan"/>
        </w:rPr>
        <w:t>QE4</w:t>
      </w:r>
      <w:r w:rsidRPr="00982B46">
        <w:rPr>
          <w:rFonts w:eastAsia="Times New Roman" w:cs="Arial"/>
          <w:b/>
          <w:bCs/>
          <w:color w:val="202122"/>
        </w:rPr>
        <w:t>.</w:t>
      </w:r>
    </w:p>
    <w:p w:rsidR="00982B46" w:rsidRPr="00982B46" w:rsidRDefault="00982B46" w:rsidP="00982B46">
      <w:pPr>
        <w:shd w:val="clear" w:color="auto" w:fill="FFFFFF"/>
        <w:spacing w:after="120" w:line="240" w:lineRule="auto"/>
        <w:rPr>
          <w:rFonts w:eastAsia="Times New Roman" w:cs="Arial"/>
          <w:i/>
          <w:iCs/>
          <w:color w:val="202122"/>
        </w:rPr>
      </w:pPr>
      <w:r w:rsidRPr="00982B46">
        <w:rPr>
          <w:rFonts w:eastAsia="Times New Roman" w:cs="Arial"/>
          <w:i/>
          <w:iCs/>
          <w:color w:val="202122"/>
        </w:rPr>
        <w:t>Further information: </w:t>
      </w:r>
      <w:hyperlink r:id="rId42" w:tooltip="Economic impact of the COVID-19 pandemic" w:history="1">
        <w:r w:rsidRPr="00982B46">
          <w:rPr>
            <w:rFonts w:eastAsia="Times New Roman" w:cs="Arial"/>
            <w:i/>
            <w:iCs/>
            <w:color w:val="3366CC"/>
            <w:u w:val="single"/>
          </w:rPr>
          <w:t>Economic impact of the COVID-19 pandemic</w:t>
        </w:r>
      </w:hyperlink>
    </w:p>
    <w:p w:rsidR="00982B46" w:rsidRPr="00982B46" w:rsidRDefault="00982B46" w:rsidP="00982B46">
      <w:pPr>
        <w:spacing w:after="0" w:line="240" w:lineRule="auto"/>
        <w:rPr>
          <w:rFonts w:ascii="Times New Roman" w:eastAsia="Times New Roman" w:hAnsi="Times New Roman"/>
        </w:rPr>
      </w:pPr>
      <w:r w:rsidRPr="00982B46">
        <w:rPr>
          <w:rFonts w:ascii="Times New Roman" w:eastAsia="Times New Roman" w:hAnsi="Times New Roman"/>
          <w:noProof/>
          <w:color w:val="3366CC"/>
          <w:bdr w:val="none" w:sz="0" w:space="0" w:color="auto" w:frame="1"/>
        </w:rPr>
        <w:drawing>
          <wp:inline distT="0" distB="0" distL="0" distR="0">
            <wp:extent cx="2486025" cy="1378614"/>
            <wp:effectExtent l="0" t="0" r="0" b="0"/>
            <wp:docPr id="1" name="Picture 1" descr="https://upload.wikimedia.org/wikipedia/commons/thumb/a/a4/US-QE-COVID19.png/220px-US-QE-COVID19.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a/a4/US-QE-COVID19.png/220px-US-QE-COVID19.pn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89592" cy="1380592"/>
                    </a:xfrm>
                    <a:prstGeom prst="rect">
                      <a:avLst/>
                    </a:prstGeom>
                    <a:noFill/>
                    <a:ln>
                      <a:noFill/>
                    </a:ln>
                  </pic:spPr>
                </pic:pic>
              </a:graphicData>
            </a:graphic>
          </wp:inline>
        </w:drawing>
      </w:r>
      <w:r>
        <w:rPr>
          <w:rFonts w:ascii="Times New Roman" w:eastAsia="Times New Roman" w:hAnsi="Times New Roman"/>
        </w:rPr>
        <w:br/>
      </w:r>
      <w:r w:rsidRPr="00982B46">
        <w:rPr>
          <w:rFonts w:ascii="Times New Roman" w:eastAsia="Times New Roman" w:hAnsi="Times New Roman"/>
        </w:rPr>
        <w:t xml:space="preserve">Increase in US Federal Reserve assets in response to COVID-19 </w:t>
      </w:r>
      <w:proofErr w:type="gramStart"/>
      <w:r w:rsidRPr="00982B46">
        <w:rPr>
          <w:rFonts w:ascii="Times New Roman" w:eastAsia="Times New Roman" w:hAnsi="Times New Roman"/>
        </w:rPr>
        <w:t>pandemic</w:t>
      </w:r>
      <w:proofErr w:type="gramEnd"/>
      <w:hyperlink r:id="rId45" w:anchor="cite_note-57" w:history="1">
        <w:r w:rsidRPr="00982B46">
          <w:rPr>
            <w:rFonts w:ascii="Times New Roman" w:eastAsia="Times New Roman" w:hAnsi="Times New Roman"/>
            <w:color w:val="3366CC"/>
            <w:u w:val="single"/>
            <w:vertAlign w:val="superscript"/>
          </w:rPr>
          <w:t>[57]</w:t>
        </w:r>
      </w:hyperlink>
    </w:p>
    <w:p w:rsidR="00982B46" w:rsidRDefault="00982B46" w:rsidP="00982B46">
      <w:pPr>
        <w:shd w:val="clear" w:color="auto" w:fill="FFFFFF"/>
        <w:spacing w:before="120" w:after="120" w:line="240" w:lineRule="auto"/>
        <w:rPr>
          <w:rFonts w:eastAsia="Times New Roman" w:cs="Arial"/>
          <w:color w:val="202122"/>
          <w:vertAlign w:val="superscript"/>
        </w:rPr>
      </w:pPr>
      <w:r w:rsidRPr="00982B46">
        <w:rPr>
          <w:rFonts w:eastAsia="Times New Roman" w:cs="Arial"/>
          <w:color w:val="202122"/>
        </w:rPr>
        <w:t>The Federal Reserve began conducting its fourth quantitative easing operation since the 2008 financial crisis; on 15 March 2020, it announced approximately $700 billion in new quantitative easing via asset purchases to support US liquidity in response to the </w:t>
      </w:r>
      <w:hyperlink r:id="rId46" w:tooltip="COVID-19 pandemic" w:history="1">
        <w:r w:rsidRPr="00982B46">
          <w:rPr>
            <w:rFonts w:eastAsia="Times New Roman" w:cs="Arial"/>
            <w:color w:val="3366CC"/>
            <w:u w:val="single"/>
          </w:rPr>
          <w:t>COVID-19 pandemic</w:t>
        </w:r>
      </w:hyperlink>
      <w:r w:rsidRPr="00982B46">
        <w:rPr>
          <w:rFonts w:eastAsia="Times New Roman" w:cs="Arial"/>
          <w:color w:val="202122"/>
        </w:rPr>
        <w:t>.</w:t>
      </w:r>
      <w:hyperlink r:id="rId47" w:anchor="cite_note-58" w:history="1">
        <w:r w:rsidRPr="00982B46">
          <w:rPr>
            <w:rFonts w:eastAsia="Times New Roman" w:cs="Arial"/>
            <w:color w:val="3366CC"/>
            <w:u w:val="single"/>
            <w:vertAlign w:val="superscript"/>
          </w:rPr>
          <w:t>[58]</w:t>
        </w:r>
      </w:hyperlink>
      <w:r w:rsidRPr="00982B46">
        <w:rPr>
          <w:rFonts w:eastAsia="Times New Roman" w:cs="Arial"/>
          <w:color w:val="202122"/>
        </w:rPr>
        <w:t> </w:t>
      </w:r>
      <w:r w:rsidRPr="00982B46">
        <w:rPr>
          <w:rFonts w:eastAsia="Times New Roman" w:cs="Arial"/>
          <w:color w:val="202122"/>
          <w:highlight w:val="cyan"/>
        </w:rPr>
        <w:t>As of mid-summer 2020 this resulted in an additional $2 trillion in assets on the books of the Federal Reserve.</w:t>
      </w:r>
      <w:hyperlink r:id="rId48" w:anchor="cite_note-59" w:history="1">
        <w:r w:rsidRPr="00982B46">
          <w:rPr>
            <w:rFonts w:eastAsia="Times New Roman" w:cs="Arial"/>
            <w:color w:val="3366CC"/>
            <w:highlight w:val="cyan"/>
            <w:u w:val="single"/>
            <w:vertAlign w:val="superscript"/>
          </w:rPr>
          <w:t>[59]</w:t>
        </w:r>
      </w:hyperlink>
      <w:r w:rsidR="00175341">
        <w:rPr>
          <w:rFonts w:eastAsia="Times New Roman" w:cs="Arial"/>
          <w:color w:val="202122"/>
          <w:vertAlign w:val="superscript"/>
        </w:rPr>
        <w:br/>
      </w:r>
    </w:p>
    <w:tbl>
      <w:tblPr>
        <w:tblStyle w:val="TableGrid"/>
        <w:tblW w:w="0" w:type="auto"/>
        <w:tblLook w:val="04A0" w:firstRow="1" w:lastRow="0" w:firstColumn="1" w:lastColumn="0" w:noHBand="0" w:noVBand="1"/>
      </w:tblPr>
      <w:tblGrid>
        <w:gridCol w:w="1345"/>
        <w:gridCol w:w="2700"/>
        <w:gridCol w:w="3507"/>
        <w:gridCol w:w="2518"/>
      </w:tblGrid>
      <w:tr w:rsidR="00982B46" w:rsidTr="00175341">
        <w:tc>
          <w:tcPr>
            <w:tcW w:w="1345" w:type="dxa"/>
          </w:tcPr>
          <w:p w:rsidR="00982B46" w:rsidRPr="00982B46" w:rsidRDefault="00982B46" w:rsidP="00982B46">
            <w:pPr>
              <w:spacing w:before="120" w:after="120"/>
            </w:pPr>
            <w:r>
              <w:t>QE1`</w:t>
            </w:r>
          </w:p>
        </w:tc>
        <w:tc>
          <w:tcPr>
            <w:tcW w:w="2700" w:type="dxa"/>
          </w:tcPr>
          <w:p w:rsidR="00982B46" w:rsidRPr="00982B46" w:rsidRDefault="00982B46" w:rsidP="00175341">
            <w:pPr>
              <w:spacing w:before="120" w:after="120"/>
            </w:pPr>
            <w:r>
              <w:rPr>
                <w:rFonts w:cs="Arial"/>
                <w:color w:val="202124"/>
                <w:shd w:val="clear" w:color="auto" w:fill="FFFFFF"/>
              </w:rPr>
              <w:t>$</w:t>
            </w:r>
            <w:r w:rsidR="00175341">
              <w:rPr>
                <w:rFonts w:cs="Arial"/>
                <w:color w:val="202124"/>
                <w:shd w:val="clear" w:color="auto" w:fill="FFFFFF"/>
              </w:rPr>
              <w:t>2</w:t>
            </w:r>
            <w:r w:rsidRPr="00982B46">
              <w:rPr>
                <w:rFonts w:cs="Arial"/>
                <w:color w:val="202124"/>
                <w:shd w:val="clear" w:color="auto" w:fill="FFFFFF"/>
              </w:rPr>
              <w:t>,0</w:t>
            </w:r>
            <w:r w:rsidR="00175341">
              <w:rPr>
                <w:rFonts w:cs="Arial"/>
                <w:color w:val="202124"/>
                <w:shd w:val="clear" w:color="auto" w:fill="FFFFFF"/>
              </w:rPr>
              <w:t>54</w:t>
            </w:r>
            <w:r w:rsidRPr="00982B46">
              <w:rPr>
                <w:rFonts w:cs="Arial"/>
                <w:color w:val="202124"/>
                <w:shd w:val="clear" w:color="auto" w:fill="FFFFFF"/>
              </w:rPr>
              <w:t>,000,000,000</w:t>
            </w:r>
          </w:p>
        </w:tc>
        <w:tc>
          <w:tcPr>
            <w:tcW w:w="3507" w:type="dxa"/>
          </w:tcPr>
          <w:p w:rsidR="00982B46" w:rsidRPr="00982B46" w:rsidRDefault="00175341" w:rsidP="00982B46">
            <w:pPr>
              <w:spacing w:before="120" w:after="120"/>
            </w:pPr>
            <w:r w:rsidRPr="00982B46">
              <w:rPr>
                <w:rFonts w:eastAsia="Times New Roman" w:cs="Arial"/>
                <w:b/>
                <w:bCs/>
                <w:color w:val="202122"/>
              </w:rPr>
              <w:t xml:space="preserve">November 2008: </w:t>
            </w:r>
            <w:r w:rsidRPr="00982B46">
              <w:rPr>
                <w:rFonts w:eastAsia="Times New Roman" w:cs="Arial"/>
                <w:b/>
                <w:bCs/>
                <w:color w:val="202122"/>
                <w:highlight w:val="cyan"/>
              </w:rPr>
              <w:t>QE1</w:t>
            </w:r>
          </w:p>
        </w:tc>
        <w:tc>
          <w:tcPr>
            <w:tcW w:w="2518" w:type="dxa"/>
          </w:tcPr>
          <w:p w:rsidR="00982B46" w:rsidRPr="00982B46" w:rsidRDefault="00982B46" w:rsidP="00982B46">
            <w:pPr>
              <w:spacing w:before="120" w:after="120"/>
            </w:pPr>
          </w:p>
        </w:tc>
      </w:tr>
      <w:tr w:rsidR="00982B46" w:rsidTr="00175341">
        <w:tc>
          <w:tcPr>
            <w:tcW w:w="1345" w:type="dxa"/>
          </w:tcPr>
          <w:p w:rsidR="00982B46" w:rsidRPr="00982B46" w:rsidRDefault="00982B46" w:rsidP="00982B46">
            <w:pPr>
              <w:spacing w:before="120" w:after="120"/>
            </w:pPr>
            <w:r>
              <w:t>QE2</w:t>
            </w:r>
          </w:p>
        </w:tc>
        <w:tc>
          <w:tcPr>
            <w:tcW w:w="2700" w:type="dxa"/>
          </w:tcPr>
          <w:p w:rsidR="00982B46" w:rsidRPr="00982B46" w:rsidRDefault="00175341" w:rsidP="00982B46">
            <w:pPr>
              <w:spacing w:before="120" w:after="120"/>
            </w:pPr>
            <w:r>
              <w:rPr>
                <w:rFonts w:cs="Arial"/>
                <w:color w:val="202124"/>
                <w:shd w:val="clear" w:color="auto" w:fill="FFFFFF"/>
              </w:rPr>
              <w:t xml:space="preserve">   </w:t>
            </w:r>
            <w:r w:rsidR="00982B46">
              <w:rPr>
                <w:rFonts w:cs="Arial"/>
                <w:color w:val="202124"/>
                <w:shd w:val="clear" w:color="auto" w:fill="FFFFFF"/>
              </w:rPr>
              <w:t>$</w:t>
            </w:r>
            <w:r>
              <w:rPr>
                <w:rFonts w:cs="Arial"/>
                <w:color w:val="202124"/>
                <w:shd w:val="clear" w:color="auto" w:fill="FFFFFF"/>
              </w:rPr>
              <w:t>6</w:t>
            </w:r>
            <w:r w:rsidR="00982B46" w:rsidRPr="00982B46">
              <w:rPr>
                <w:rFonts w:cs="Arial"/>
                <w:color w:val="202124"/>
                <w:shd w:val="clear" w:color="auto" w:fill="FFFFFF"/>
              </w:rPr>
              <w:t>00,000,000</w:t>
            </w:r>
            <w:r>
              <w:rPr>
                <w:rFonts w:cs="Arial"/>
                <w:color w:val="202124"/>
                <w:shd w:val="clear" w:color="auto" w:fill="FFFFFF"/>
              </w:rPr>
              <w:t>,000</w:t>
            </w:r>
          </w:p>
        </w:tc>
        <w:tc>
          <w:tcPr>
            <w:tcW w:w="3507" w:type="dxa"/>
          </w:tcPr>
          <w:p w:rsidR="00982B46" w:rsidRPr="00982B46" w:rsidRDefault="00175341" w:rsidP="00982B46">
            <w:pPr>
              <w:spacing w:before="120" w:after="120"/>
            </w:pPr>
            <w:r w:rsidRPr="00982B46">
              <w:rPr>
                <w:rFonts w:eastAsia="Times New Roman" w:cs="Arial"/>
                <w:b/>
                <w:bCs/>
                <w:color w:val="202122"/>
              </w:rPr>
              <w:t xml:space="preserve">November 2010: </w:t>
            </w:r>
            <w:r w:rsidRPr="00982B46">
              <w:rPr>
                <w:rFonts w:eastAsia="Times New Roman" w:cs="Arial"/>
                <w:b/>
                <w:bCs/>
                <w:color w:val="202122"/>
                <w:highlight w:val="cyan"/>
              </w:rPr>
              <w:t>QE2</w:t>
            </w:r>
          </w:p>
        </w:tc>
        <w:tc>
          <w:tcPr>
            <w:tcW w:w="2518" w:type="dxa"/>
          </w:tcPr>
          <w:p w:rsidR="00982B46" w:rsidRPr="00982B46" w:rsidRDefault="00982B46" w:rsidP="00982B46">
            <w:pPr>
              <w:spacing w:before="120" w:after="120"/>
            </w:pPr>
          </w:p>
        </w:tc>
      </w:tr>
      <w:tr w:rsidR="00982B46" w:rsidTr="00175341">
        <w:tc>
          <w:tcPr>
            <w:tcW w:w="1345" w:type="dxa"/>
          </w:tcPr>
          <w:p w:rsidR="00982B46" w:rsidRDefault="00982B46" w:rsidP="00982B46">
            <w:pPr>
              <w:spacing w:before="120" w:after="120"/>
              <w:rPr>
                <w:rFonts w:eastAsia="Times New Roman" w:cs="Arial"/>
                <w:color w:val="202122"/>
              </w:rPr>
            </w:pPr>
            <w:r>
              <w:rPr>
                <w:rFonts w:eastAsia="Times New Roman" w:cs="Arial"/>
                <w:color w:val="202122"/>
              </w:rPr>
              <w:t>QE3</w:t>
            </w:r>
          </w:p>
        </w:tc>
        <w:tc>
          <w:tcPr>
            <w:tcW w:w="2700" w:type="dxa"/>
          </w:tcPr>
          <w:p w:rsidR="00982B46" w:rsidRPr="00982B46" w:rsidRDefault="00982B46" w:rsidP="00175341">
            <w:pPr>
              <w:spacing w:before="120" w:after="120"/>
              <w:rPr>
                <w:rFonts w:eastAsia="Times New Roman" w:cs="Arial"/>
                <w:color w:val="202122"/>
              </w:rPr>
            </w:pPr>
            <w:r>
              <w:rPr>
                <w:rFonts w:cs="Arial"/>
                <w:color w:val="202124"/>
                <w:shd w:val="clear" w:color="auto" w:fill="FFFFFF"/>
              </w:rPr>
              <w:t>$</w:t>
            </w:r>
            <w:r w:rsidR="00175341">
              <w:rPr>
                <w:rFonts w:cs="Arial"/>
                <w:color w:val="202124"/>
                <w:shd w:val="clear" w:color="auto" w:fill="FFFFFF"/>
              </w:rPr>
              <w:t>4</w:t>
            </w:r>
            <w:r w:rsidRPr="00982B46">
              <w:rPr>
                <w:rFonts w:cs="Arial"/>
                <w:color w:val="202124"/>
                <w:shd w:val="clear" w:color="auto" w:fill="FFFFFF"/>
              </w:rPr>
              <w:t>,</w:t>
            </w:r>
            <w:r w:rsidR="00175341">
              <w:rPr>
                <w:rFonts w:cs="Arial"/>
                <w:color w:val="202124"/>
                <w:shd w:val="clear" w:color="auto" w:fill="FFFFFF"/>
              </w:rPr>
              <w:t>5</w:t>
            </w:r>
            <w:r w:rsidRPr="00982B46">
              <w:rPr>
                <w:rFonts w:cs="Arial"/>
                <w:color w:val="202124"/>
                <w:shd w:val="clear" w:color="auto" w:fill="FFFFFF"/>
              </w:rPr>
              <w:t>00,000,000,000</w:t>
            </w:r>
          </w:p>
        </w:tc>
        <w:tc>
          <w:tcPr>
            <w:tcW w:w="3507" w:type="dxa"/>
          </w:tcPr>
          <w:p w:rsidR="00982B46" w:rsidRDefault="00175341" w:rsidP="00982B46">
            <w:pPr>
              <w:spacing w:before="120" w:after="120"/>
              <w:rPr>
                <w:rFonts w:eastAsia="Times New Roman" w:cs="Arial"/>
                <w:color w:val="202122"/>
              </w:rPr>
            </w:pPr>
            <w:r w:rsidRPr="00982B46">
              <w:rPr>
                <w:rFonts w:eastAsia="Times New Roman" w:cs="Arial"/>
                <w:b/>
                <w:bCs/>
                <w:color w:val="202122"/>
              </w:rPr>
              <w:t xml:space="preserve">September 2012: </w:t>
            </w:r>
            <w:r w:rsidRPr="00982B46">
              <w:rPr>
                <w:rFonts w:eastAsia="Times New Roman" w:cs="Arial"/>
                <w:b/>
                <w:bCs/>
                <w:color w:val="202122"/>
                <w:highlight w:val="cyan"/>
              </w:rPr>
              <w:t>QE3</w:t>
            </w:r>
          </w:p>
        </w:tc>
        <w:tc>
          <w:tcPr>
            <w:tcW w:w="2518" w:type="dxa"/>
          </w:tcPr>
          <w:p w:rsidR="00982B46" w:rsidRDefault="00982B46" w:rsidP="00982B46">
            <w:pPr>
              <w:spacing w:before="120" w:after="120"/>
              <w:rPr>
                <w:rFonts w:eastAsia="Times New Roman" w:cs="Arial"/>
                <w:color w:val="202122"/>
              </w:rPr>
            </w:pPr>
          </w:p>
        </w:tc>
      </w:tr>
      <w:tr w:rsidR="00982B46" w:rsidTr="00175341">
        <w:tc>
          <w:tcPr>
            <w:tcW w:w="1345" w:type="dxa"/>
          </w:tcPr>
          <w:p w:rsidR="00982B46" w:rsidRDefault="00982B46" w:rsidP="00982B46">
            <w:pPr>
              <w:spacing w:before="120" w:after="120"/>
              <w:rPr>
                <w:rFonts w:eastAsia="Times New Roman" w:cs="Arial"/>
                <w:color w:val="202122"/>
              </w:rPr>
            </w:pPr>
            <w:r>
              <w:rPr>
                <w:rFonts w:eastAsia="Times New Roman" w:cs="Arial"/>
                <w:color w:val="202122"/>
              </w:rPr>
              <w:t>QE4</w:t>
            </w:r>
          </w:p>
        </w:tc>
        <w:tc>
          <w:tcPr>
            <w:tcW w:w="2700" w:type="dxa"/>
          </w:tcPr>
          <w:p w:rsidR="00982B46" w:rsidRPr="00982B46" w:rsidRDefault="00982B46" w:rsidP="00175341">
            <w:pPr>
              <w:spacing w:before="120" w:after="120"/>
              <w:rPr>
                <w:rFonts w:eastAsia="Times New Roman" w:cs="Arial"/>
                <w:color w:val="202122"/>
              </w:rPr>
            </w:pPr>
            <w:r>
              <w:rPr>
                <w:rFonts w:cs="Arial"/>
                <w:color w:val="202124"/>
                <w:shd w:val="clear" w:color="auto" w:fill="FFFFFF"/>
              </w:rPr>
              <w:t>$</w:t>
            </w:r>
            <w:r w:rsidR="00175341">
              <w:rPr>
                <w:rFonts w:cs="Arial"/>
                <w:color w:val="202124"/>
                <w:shd w:val="clear" w:color="auto" w:fill="FFFFFF"/>
              </w:rPr>
              <w:t>2</w:t>
            </w:r>
            <w:r w:rsidRPr="00982B46">
              <w:rPr>
                <w:rFonts w:cs="Arial"/>
                <w:color w:val="202124"/>
                <w:shd w:val="clear" w:color="auto" w:fill="FFFFFF"/>
              </w:rPr>
              <w:t>,000,000,000,000</w:t>
            </w:r>
          </w:p>
        </w:tc>
        <w:tc>
          <w:tcPr>
            <w:tcW w:w="3507" w:type="dxa"/>
          </w:tcPr>
          <w:p w:rsidR="00982B46" w:rsidRDefault="00175341" w:rsidP="00982B46">
            <w:pPr>
              <w:spacing w:before="120" w:after="120"/>
              <w:rPr>
                <w:rFonts w:eastAsia="Times New Roman" w:cs="Arial"/>
                <w:color w:val="202122"/>
              </w:rPr>
            </w:pPr>
            <w:r w:rsidRPr="00982B46">
              <w:rPr>
                <w:rFonts w:eastAsia="Times New Roman" w:cs="Arial"/>
                <w:b/>
                <w:bCs/>
                <w:color w:val="202122"/>
              </w:rPr>
              <w:t xml:space="preserve">March 2020: </w:t>
            </w:r>
            <w:r w:rsidRPr="00982B46">
              <w:rPr>
                <w:rFonts w:eastAsia="Times New Roman" w:cs="Arial"/>
                <w:b/>
                <w:bCs/>
                <w:color w:val="202122"/>
                <w:highlight w:val="cyan"/>
              </w:rPr>
              <w:t>QE4</w:t>
            </w:r>
          </w:p>
        </w:tc>
        <w:tc>
          <w:tcPr>
            <w:tcW w:w="2518" w:type="dxa"/>
          </w:tcPr>
          <w:p w:rsidR="00982B46" w:rsidRDefault="00982B46" w:rsidP="00982B46">
            <w:pPr>
              <w:spacing w:before="120" w:after="120"/>
              <w:rPr>
                <w:rFonts w:eastAsia="Times New Roman" w:cs="Arial"/>
                <w:color w:val="202122"/>
              </w:rPr>
            </w:pPr>
          </w:p>
        </w:tc>
      </w:tr>
      <w:tr w:rsidR="00982B46" w:rsidTr="00175341">
        <w:tc>
          <w:tcPr>
            <w:tcW w:w="1345" w:type="dxa"/>
          </w:tcPr>
          <w:p w:rsidR="00982B46" w:rsidRDefault="00175341" w:rsidP="00982B46">
            <w:pPr>
              <w:spacing w:before="120" w:after="120"/>
              <w:rPr>
                <w:rFonts w:eastAsia="Times New Roman" w:cs="Arial"/>
                <w:color w:val="202122"/>
              </w:rPr>
            </w:pPr>
            <w:r>
              <w:rPr>
                <w:rFonts w:eastAsia="Times New Roman" w:cs="Arial"/>
                <w:color w:val="202122"/>
              </w:rPr>
              <w:t>Total</w:t>
            </w:r>
          </w:p>
        </w:tc>
        <w:tc>
          <w:tcPr>
            <w:tcW w:w="2700" w:type="dxa"/>
          </w:tcPr>
          <w:p w:rsidR="00982B46" w:rsidRPr="00175341" w:rsidRDefault="00982B46" w:rsidP="00982B46">
            <w:pPr>
              <w:spacing w:before="120" w:after="120"/>
              <w:rPr>
                <w:rFonts w:cs="Arial"/>
                <w:b/>
                <w:color w:val="202124"/>
                <w:shd w:val="clear" w:color="auto" w:fill="FFFFFF"/>
              </w:rPr>
            </w:pPr>
            <w:r w:rsidRPr="00175341">
              <w:rPr>
                <w:rFonts w:cs="Arial"/>
                <w:b/>
                <w:color w:val="202124"/>
                <w:shd w:val="clear" w:color="auto" w:fill="FFFFFF"/>
              </w:rPr>
              <w:t>$</w:t>
            </w:r>
            <w:r w:rsidR="00175341" w:rsidRPr="00175341">
              <w:rPr>
                <w:rFonts w:cs="Arial"/>
                <w:b/>
                <w:color w:val="202124"/>
                <w:shd w:val="clear" w:color="auto" w:fill="FFFFFF"/>
              </w:rPr>
              <w:t>9,154</w:t>
            </w:r>
            <w:r w:rsidRPr="00175341">
              <w:rPr>
                <w:rFonts w:cs="Arial"/>
                <w:b/>
                <w:color w:val="202124"/>
                <w:shd w:val="clear" w:color="auto" w:fill="FFFFFF"/>
              </w:rPr>
              <w:t>,000,000,000</w:t>
            </w:r>
          </w:p>
        </w:tc>
        <w:tc>
          <w:tcPr>
            <w:tcW w:w="3507" w:type="dxa"/>
          </w:tcPr>
          <w:p w:rsidR="00982B46" w:rsidRDefault="00982B46" w:rsidP="00982B46">
            <w:pPr>
              <w:spacing w:before="120" w:after="120"/>
              <w:rPr>
                <w:rFonts w:eastAsia="Times New Roman" w:cs="Arial"/>
                <w:color w:val="202122"/>
              </w:rPr>
            </w:pPr>
          </w:p>
        </w:tc>
        <w:tc>
          <w:tcPr>
            <w:tcW w:w="2518" w:type="dxa"/>
          </w:tcPr>
          <w:p w:rsidR="00982B46" w:rsidRDefault="00982B46" w:rsidP="00982B46">
            <w:pPr>
              <w:spacing w:before="120" w:after="120"/>
              <w:rPr>
                <w:rFonts w:eastAsia="Times New Roman" w:cs="Arial"/>
                <w:color w:val="202122"/>
              </w:rPr>
            </w:pPr>
          </w:p>
        </w:tc>
      </w:tr>
    </w:tbl>
    <w:p w:rsidR="00982B46" w:rsidRPr="00982B46" w:rsidRDefault="00982B46" w:rsidP="00982B46">
      <w:pPr>
        <w:shd w:val="clear" w:color="auto" w:fill="FFFFFF"/>
        <w:spacing w:before="120" w:after="120" w:line="240" w:lineRule="auto"/>
        <w:rPr>
          <w:rFonts w:eastAsia="Times New Roman" w:cs="Arial"/>
          <w:color w:val="202122"/>
        </w:rPr>
      </w:pPr>
    </w:p>
    <w:p w:rsidR="0067749D" w:rsidRDefault="0067749D"/>
    <w:sectPr w:rsidR="0067749D" w:rsidSect="00982B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B46"/>
    <w:rsid w:val="00175341"/>
    <w:rsid w:val="0067749D"/>
    <w:rsid w:val="009079ED"/>
    <w:rsid w:val="00982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99B8B-82B4-4C3B-83A3-3F308201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982B46"/>
    <w:pPr>
      <w:spacing w:before="100" w:beforeAutospacing="1" w:after="100" w:afterAutospacing="1" w:line="240" w:lineRule="auto"/>
      <w:outlineLvl w:val="3"/>
    </w:pPr>
    <w:rPr>
      <w:rFonts w:ascii="Times New Roman" w:eastAsia="Times New Roman" w:hAnsi="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82B46"/>
    <w:rPr>
      <w:rFonts w:ascii="Times New Roman" w:eastAsia="Times New Roman" w:hAnsi="Times New Roman"/>
      <w:b/>
      <w:bCs/>
    </w:rPr>
  </w:style>
  <w:style w:type="character" w:customStyle="1" w:styleId="mw-headline">
    <w:name w:val="mw-headline"/>
    <w:basedOn w:val="DefaultParagraphFont"/>
    <w:rsid w:val="00982B46"/>
  </w:style>
  <w:style w:type="character" w:customStyle="1" w:styleId="mw-editsection">
    <w:name w:val="mw-editsection"/>
    <w:basedOn w:val="DefaultParagraphFont"/>
    <w:rsid w:val="00982B46"/>
  </w:style>
  <w:style w:type="character" w:customStyle="1" w:styleId="mw-editsection-bracket">
    <w:name w:val="mw-editsection-bracket"/>
    <w:basedOn w:val="DefaultParagraphFont"/>
    <w:rsid w:val="00982B46"/>
  </w:style>
  <w:style w:type="character" w:styleId="Hyperlink">
    <w:name w:val="Hyperlink"/>
    <w:basedOn w:val="DefaultParagraphFont"/>
    <w:uiPriority w:val="99"/>
    <w:semiHidden/>
    <w:unhideWhenUsed/>
    <w:rsid w:val="00982B46"/>
    <w:rPr>
      <w:color w:val="0000FF"/>
      <w:u w:val="single"/>
    </w:rPr>
  </w:style>
  <w:style w:type="character" w:customStyle="1" w:styleId="legend-line">
    <w:name w:val="legend-line"/>
    <w:basedOn w:val="DefaultParagraphFont"/>
    <w:rsid w:val="00982B46"/>
  </w:style>
  <w:style w:type="character" w:customStyle="1" w:styleId="legend-color">
    <w:name w:val="legend-color"/>
    <w:basedOn w:val="DefaultParagraphFont"/>
    <w:rsid w:val="00982B46"/>
  </w:style>
  <w:style w:type="paragraph" w:styleId="NormalWeb">
    <w:name w:val="Normal (Web)"/>
    <w:basedOn w:val="Normal"/>
    <w:uiPriority w:val="99"/>
    <w:semiHidden/>
    <w:unhideWhenUsed/>
    <w:rsid w:val="00982B46"/>
    <w:pPr>
      <w:spacing w:before="100" w:beforeAutospacing="1" w:after="100" w:afterAutospacing="1" w:line="240" w:lineRule="auto"/>
    </w:pPr>
    <w:rPr>
      <w:rFonts w:ascii="Times New Roman" w:eastAsia="Times New Roman" w:hAnsi="Times New Roman"/>
    </w:rPr>
  </w:style>
  <w:style w:type="table" w:styleId="TableGrid">
    <w:name w:val="Table Grid"/>
    <w:basedOn w:val="TableNormal"/>
    <w:uiPriority w:val="39"/>
    <w:rsid w:val="00982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865984">
      <w:bodyDiv w:val="1"/>
      <w:marLeft w:val="0"/>
      <w:marRight w:val="0"/>
      <w:marTop w:val="0"/>
      <w:marBottom w:val="0"/>
      <w:divBdr>
        <w:top w:val="none" w:sz="0" w:space="0" w:color="auto"/>
        <w:left w:val="none" w:sz="0" w:space="0" w:color="auto"/>
        <w:bottom w:val="none" w:sz="0" w:space="0" w:color="auto"/>
        <w:right w:val="none" w:sz="0" w:space="0" w:color="auto"/>
      </w:divBdr>
      <w:divsChild>
        <w:div w:id="1480539374">
          <w:marLeft w:val="0"/>
          <w:marRight w:val="0"/>
          <w:marTop w:val="0"/>
          <w:marBottom w:val="0"/>
          <w:divBdr>
            <w:top w:val="none" w:sz="0" w:space="0" w:color="auto"/>
            <w:left w:val="none" w:sz="0" w:space="0" w:color="auto"/>
            <w:bottom w:val="none" w:sz="0" w:space="0" w:color="auto"/>
            <w:right w:val="none" w:sz="0" w:space="0" w:color="auto"/>
          </w:divBdr>
        </w:div>
        <w:div w:id="2137287560">
          <w:marLeft w:val="0"/>
          <w:marRight w:val="0"/>
          <w:marTop w:val="0"/>
          <w:marBottom w:val="0"/>
          <w:divBdr>
            <w:top w:val="none" w:sz="0" w:space="0" w:color="auto"/>
            <w:left w:val="none" w:sz="0" w:space="0" w:color="auto"/>
            <w:bottom w:val="none" w:sz="0" w:space="0" w:color="auto"/>
            <w:right w:val="none" w:sz="0" w:space="0" w:color="auto"/>
          </w:divBdr>
        </w:div>
        <w:div w:id="1884247439">
          <w:marLeft w:val="0"/>
          <w:marRight w:val="0"/>
          <w:marTop w:val="0"/>
          <w:marBottom w:val="0"/>
          <w:divBdr>
            <w:top w:val="none" w:sz="0" w:space="0" w:color="auto"/>
            <w:left w:val="none" w:sz="0" w:space="0" w:color="auto"/>
            <w:bottom w:val="none" w:sz="0" w:space="0" w:color="auto"/>
            <w:right w:val="none" w:sz="0" w:space="0" w:color="auto"/>
          </w:divBdr>
        </w:div>
        <w:div w:id="1726371179">
          <w:marLeft w:val="0"/>
          <w:marRight w:val="0"/>
          <w:marTop w:val="0"/>
          <w:marBottom w:val="0"/>
          <w:divBdr>
            <w:top w:val="none" w:sz="0" w:space="0" w:color="auto"/>
            <w:left w:val="none" w:sz="0" w:space="0" w:color="auto"/>
            <w:bottom w:val="none" w:sz="0" w:space="0" w:color="auto"/>
            <w:right w:val="none" w:sz="0" w:space="0" w:color="auto"/>
          </w:divBdr>
        </w:div>
        <w:div w:id="2022197198">
          <w:marLeft w:val="0"/>
          <w:marRight w:val="0"/>
          <w:marTop w:val="0"/>
          <w:marBottom w:val="0"/>
          <w:divBdr>
            <w:top w:val="none" w:sz="0" w:space="0" w:color="auto"/>
            <w:left w:val="none" w:sz="0" w:space="0" w:color="auto"/>
            <w:bottom w:val="none" w:sz="0" w:space="0" w:color="auto"/>
            <w:right w:val="none" w:sz="0" w:space="0" w:color="auto"/>
          </w:divBdr>
        </w:div>
        <w:div w:id="1097675141">
          <w:marLeft w:val="0"/>
          <w:marRight w:val="0"/>
          <w:marTop w:val="0"/>
          <w:marBottom w:val="0"/>
          <w:divBdr>
            <w:top w:val="none" w:sz="0" w:space="0" w:color="auto"/>
            <w:left w:val="none" w:sz="0" w:space="0" w:color="auto"/>
            <w:bottom w:val="none" w:sz="0" w:space="0" w:color="auto"/>
            <w:right w:val="none" w:sz="0" w:space="0" w:color="auto"/>
          </w:divBdr>
        </w:div>
        <w:div w:id="1275751400">
          <w:marLeft w:val="0"/>
          <w:marRight w:val="0"/>
          <w:marTop w:val="0"/>
          <w:marBottom w:val="0"/>
          <w:divBdr>
            <w:top w:val="none" w:sz="0" w:space="0" w:color="auto"/>
            <w:left w:val="none" w:sz="0" w:space="0" w:color="auto"/>
            <w:bottom w:val="none" w:sz="0" w:space="0" w:color="auto"/>
            <w:right w:val="none" w:sz="0" w:space="0" w:color="auto"/>
          </w:divBdr>
        </w:div>
        <w:div w:id="1045714515">
          <w:marLeft w:val="0"/>
          <w:marRight w:val="0"/>
          <w:marTop w:val="0"/>
          <w:marBottom w:val="0"/>
          <w:divBdr>
            <w:top w:val="none" w:sz="0" w:space="0" w:color="auto"/>
            <w:left w:val="none" w:sz="0" w:space="0" w:color="auto"/>
            <w:bottom w:val="none" w:sz="0" w:space="0" w:color="auto"/>
            <w:right w:val="none" w:sz="0" w:space="0" w:color="auto"/>
          </w:divBdr>
        </w:div>
        <w:div w:id="1199389804">
          <w:marLeft w:val="0"/>
          <w:marRight w:val="0"/>
          <w:marTop w:val="0"/>
          <w:marBottom w:val="0"/>
          <w:divBdr>
            <w:top w:val="none" w:sz="0" w:space="0" w:color="auto"/>
            <w:left w:val="none" w:sz="0" w:space="0" w:color="auto"/>
            <w:bottom w:val="none" w:sz="0" w:space="0" w:color="auto"/>
            <w:right w:val="none" w:sz="0" w:space="0" w:color="auto"/>
          </w:divBdr>
        </w:div>
        <w:div w:id="526257291">
          <w:marLeft w:val="0"/>
          <w:marRight w:val="0"/>
          <w:marTop w:val="0"/>
          <w:marBottom w:val="0"/>
          <w:divBdr>
            <w:top w:val="none" w:sz="0" w:space="0" w:color="auto"/>
            <w:left w:val="none" w:sz="0" w:space="0" w:color="auto"/>
            <w:bottom w:val="none" w:sz="0" w:space="0" w:color="auto"/>
            <w:right w:val="none" w:sz="0" w:space="0" w:color="auto"/>
          </w:divBdr>
        </w:div>
        <w:div w:id="91574922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File:M2,_CPI,_PCE.webp" TargetMode="External"/><Relationship Id="rId18" Type="http://schemas.openxmlformats.org/officeDocument/2006/relationships/hyperlink" Target="https://en.wikipedia.org/wiki/Quantitative_easing" TargetMode="External"/><Relationship Id="rId26" Type="http://schemas.openxmlformats.org/officeDocument/2006/relationships/hyperlink" Target="https://en.wikipedia.org/wiki/Federal_Open_Market_Committee" TargetMode="External"/><Relationship Id="rId39" Type="http://schemas.openxmlformats.org/officeDocument/2006/relationships/hyperlink" Target="https://en.wikipedia.org/wiki/Quantitative_easing" TargetMode="External"/><Relationship Id="rId3" Type="http://schemas.openxmlformats.org/officeDocument/2006/relationships/webSettings" Target="webSettings.xml"/><Relationship Id="rId21" Type="http://schemas.openxmlformats.org/officeDocument/2006/relationships/hyperlink" Target="https://en.wikipedia.org/wiki/Quantitative_easing" TargetMode="External"/><Relationship Id="rId34" Type="http://schemas.openxmlformats.org/officeDocument/2006/relationships/hyperlink" Target="https://en.wikipedia.org/wiki/Ben_Bernanke" TargetMode="External"/><Relationship Id="rId42" Type="http://schemas.openxmlformats.org/officeDocument/2006/relationships/hyperlink" Target="https://en.wikipedia.org/wiki/Economic_impact_of_the_COVID-19_pandemic" TargetMode="External"/><Relationship Id="rId47" Type="http://schemas.openxmlformats.org/officeDocument/2006/relationships/hyperlink" Target="https://en.wikipedia.org/wiki/Quantitative_easing" TargetMode="External"/><Relationship Id="rId50" Type="http://schemas.openxmlformats.org/officeDocument/2006/relationships/theme" Target="theme/theme1.xml"/><Relationship Id="rId7" Type="http://schemas.openxmlformats.org/officeDocument/2006/relationships/hyperlink" Target="https://en.wikipedia.org/wiki/File:FFR_treasuries.webp" TargetMode="External"/><Relationship Id="rId12" Type="http://schemas.openxmlformats.org/officeDocument/2006/relationships/hyperlink" Target="https://en.wikipedia.org/wiki/List_of_recessions_in_the_United_States" TargetMode="External"/><Relationship Id="rId17" Type="http://schemas.openxmlformats.org/officeDocument/2006/relationships/hyperlink" Target="https://en.wikipedia.org/wiki/Mortgage-backed_security" TargetMode="External"/><Relationship Id="rId25" Type="http://schemas.openxmlformats.org/officeDocument/2006/relationships/hyperlink" Target="https://en.wikipedia.org/wiki/Quantitative_easing" TargetMode="External"/><Relationship Id="rId33" Type="http://schemas.openxmlformats.org/officeDocument/2006/relationships/hyperlink" Target="https://en.wikipedia.org/wiki/Quantitative_easing" TargetMode="External"/><Relationship Id="rId38" Type="http://schemas.openxmlformats.org/officeDocument/2006/relationships/hyperlink" Target="https://en.wikipedia.org/wiki/Quantitative_easing" TargetMode="External"/><Relationship Id="rId46" Type="http://schemas.openxmlformats.org/officeDocument/2006/relationships/hyperlink" Target="https://en.wikipedia.org/wiki/COVID-19_pandemic" TargetMode="External"/><Relationship Id="rId2" Type="http://schemas.openxmlformats.org/officeDocument/2006/relationships/settings" Target="settings.xml"/><Relationship Id="rId16" Type="http://schemas.openxmlformats.org/officeDocument/2006/relationships/hyperlink" Target="https://en.wikipedia.org/wiki/Consumer_price_index" TargetMode="External"/><Relationship Id="rId20" Type="http://schemas.openxmlformats.org/officeDocument/2006/relationships/hyperlink" Target="https://en.wikipedia.org/wiki/United_States_Treasury_security" TargetMode="External"/><Relationship Id="rId29" Type="http://schemas.openxmlformats.org/officeDocument/2006/relationships/hyperlink" Target="https://en.wikipedia.org/wiki/Quantitative_easing" TargetMode="External"/><Relationship Id="rId41" Type="http://schemas.openxmlformats.org/officeDocument/2006/relationships/hyperlink" Target="https://en.wikipedia.org/wiki/Quantitative_easing"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en.wikipedia.org/wiki/United_States_Consumer_Price_Index" TargetMode="External"/><Relationship Id="rId24" Type="http://schemas.openxmlformats.org/officeDocument/2006/relationships/hyperlink" Target="https://en.wikipedia.org/wiki/Quantitative_easing" TargetMode="External"/><Relationship Id="rId32" Type="http://schemas.openxmlformats.org/officeDocument/2006/relationships/hyperlink" Target="https://en.wikipedia.org/wiki/Wikipedia:NOTRS" TargetMode="External"/><Relationship Id="rId37" Type="http://schemas.openxmlformats.org/officeDocument/2006/relationships/hyperlink" Target="https://en.wikipedia.org/wiki/Quantitative_easing" TargetMode="External"/><Relationship Id="rId40" Type="http://schemas.openxmlformats.org/officeDocument/2006/relationships/hyperlink" Target="https://en.wikipedia.org/wiki/Quantitative_easing" TargetMode="External"/><Relationship Id="rId45" Type="http://schemas.openxmlformats.org/officeDocument/2006/relationships/hyperlink" Target="https://en.wikipedia.org/wiki/Quantitative_easing" TargetMode="External"/><Relationship Id="rId5" Type="http://schemas.openxmlformats.org/officeDocument/2006/relationships/hyperlink" Target="https://en.wikipedia.org/wiki/File:U.S._Federal_Reserve_-_Treasury_and_Mortgage-Backed_Securities_Held.png" TargetMode="External"/><Relationship Id="rId15" Type="http://schemas.openxmlformats.org/officeDocument/2006/relationships/hyperlink" Target="https://en.wikipedia.org/wiki/Money_supply" TargetMode="External"/><Relationship Id="rId23" Type="http://schemas.openxmlformats.org/officeDocument/2006/relationships/hyperlink" Target="https://en.wikipedia.org/wiki/Quantitative_easing" TargetMode="External"/><Relationship Id="rId28" Type="http://schemas.openxmlformats.org/officeDocument/2006/relationships/hyperlink" Target="https://en.wikipedia.org/wiki/Quantitative_easing" TargetMode="External"/><Relationship Id="rId36" Type="http://schemas.openxmlformats.org/officeDocument/2006/relationships/hyperlink" Target="https://en.wikipedia.org/wiki/Quantitative_easing" TargetMode="External"/><Relationship Id="rId49" Type="http://schemas.openxmlformats.org/officeDocument/2006/relationships/fontTable" Target="fontTable.xml"/><Relationship Id="rId10" Type="http://schemas.openxmlformats.org/officeDocument/2006/relationships/hyperlink" Target="https://en.wikipedia.org/wiki/Treasury_bond" TargetMode="External"/><Relationship Id="rId19" Type="http://schemas.openxmlformats.org/officeDocument/2006/relationships/hyperlink" Target="https://en.wikipedia.org/wiki/Quantitative_easing" TargetMode="External"/><Relationship Id="rId31" Type="http://schemas.openxmlformats.org/officeDocument/2006/relationships/hyperlink" Target="https://en.wikipedia.org/wiki/Quantitative_easing" TargetMode="External"/><Relationship Id="rId44" Type="http://schemas.openxmlformats.org/officeDocument/2006/relationships/image" Target="media/image4.png"/><Relationship Id="rId4" Type="http://schemas.openxmlformats.org/officeDocument/2006/relationships/hyperlink" Target="https://en.wikipedia.org/w/index.php?title=Quantitative_easing&amp;action=edit&amp;section=6" TargetMode="External"/><Relationship Id="rId9" Type="http://schemas.openxmlformats.org/officeDocument/2006/relationships/hyperlink" Target="https://en.wikipedia.org/wiki/Mortgage_loan" TargetMode="External"/><Relationship Id="rId14" Type="http://schemas.openxmlformats.org/officeDocument/2006/relationships/image" Target="media/image3.png"/><Relationship Id="rId22" Type="http://schemas.openxmlformats.org/officeDocument/2006/relationships/hyperlink" Target="https://en.wikipedia.org/wiki/Quantitative_easing" TargetMode="External"/><Relationship Id="rId27" Type="http://schemas.openxmlformats.org/officeDocument/2006/relationships/hyperlink" Target="https://en.wikipedia.org/wiki/Federal_funds_rate" TargetMode="External"/><Relationship Id="rId30" Type="http://schemas.openxmlformats.org/officeDocument/2006/relationships/hyperlink" Target="https://en.wikipedia.org/wiki/Quantitative_easing" TargetMode="External"/><Relationship Id="rId35" Type="http://schemas.openxmlformats.org/officeDocument/2006/relationships/hyperlink" Target="https://en.wikipedia.org/wiki/Quantitative_easing" TargetMode="External"/><Relationship Id="rId43" Type="http://schemas.openxmlformats.org/officeDocument/2006/relationships/hyperlink" Target="https://en.wikipedia.org/wiki/File:US-QE-COVID19.png" TargetMode="External"/><Relationship Id="rId48" Type="http://schemas.openxmlformats.org/officeDocument/2006/relationships/hyperlink" Target="https://en.wikipedia.org/wiki/Quantitative_easing"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2023-09-19T03:53:00Z</dcterms:created>
  <dcterms:modified xsi:type="dcterms:W3CDTF">2023-09-19T04:16:00Z</dcterms:modified>
</cp:coreProperties>
</file>