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4064A" w14:textId="77777777" w:rsidR="009D72EE" w:rsidRPr="00A119F0" w:rsidRDefault="0046111C" w:rsidP="009D72EE">
      <w:bookmarkStart w:id="0" w:name="_GoBack"/>
      <w:bookmarkEnd w:id="0"/>
      <w:r>
        <w:rPr>
          <w:noProof/>
        </w:rPr>
        <w:object w:dxaOrig="1440" w:dyaOrig="1440" w14:anchorId="5A31EF73">
          <v:group id="_x0000_s1026" style="position:absolute;margin-left:-18.15pt;margin-top:-4.7pt;width:495.9pt;height:122.1pt;z-index:251658240" coordorigin="1134,414" coordsize="9918,2520">
            <v:group id="_x0000_s1027" style="position:absolute;left:1134;top:420;width:5953;height:968" coordorigin="1134,420" coordsize="5953,9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34;top:420;width:5953;height:968;mso-position-horizontal:left">
                <v:imagedata r:id="rId8" o:title=""/>
              </v:shape>
              <v:rect id="_x0000_s1029" style="position:absolute;left:2263;top:957;width:2805;height:360" stroked="f">
                <v:textbox style="mso-next-textbox:#_x0000_s1029" inset="0,0,0,0">
                  <w:txbxContent>
                    <w:p w14:paraId="365AF6B5" w14:textId="77777777" w:rsidR="00576E5B" w:rsidRPr="000F3F55" w:rsidRDefault="00576E5B" w:rsidP="009D72EE">
                      <w:pPr>
                        <w:pStyle w:val="NoSpacing"/>
                        <w:rPr>
                          <w:b/>
                          <w:color w:val="0054A4"/>
                        </w:rPr>
                      </w:pPr>
                      <w:r w:rsidRPr="000F3F55">
                        <w:rPr>
                          <w:b/>
                          <w:color w:val="0054A4"/>
                        </w:rPr>
                        <w:t>NATIONAL COUNCIL</w:t>
                      </w:r>
                    </w:p>
                  </w:txbxContent>
                </v:textbox>
              </v:rect>
            </v:group>
            <v:shapetype id="_x0000_t202" coordsize="21600,21600" o:spt="202" path="m,l,21600r21600,l21600,xe">
              <v:stroke joinstyle="miter"/>
              <v:path gradientshapeok="t" o:connecttype="rect"/>
            </v:shapetype>
            <v:shape id="_x0000_s1030" type="#_x0000_t202" style="position:absolute;left:7312;top:414;width:3740;height:2520;mso-position-vertical-relative:page" stroked="f">
              <v:textbox style="mso-next-textbox:#_x0000_s1030">
                <w:txbxContent>
                  <w:p w14:paraId="4318FCE3"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ABN:  50 748 098 845</w:t>
                    </w:r>
                  </w:p>
                  <w:p w14:paraId="30AA6BE1" w14:textId="77777777" w:rsidR="00576E5B" w:rsidRPr="000F3F55" w:rsidRDefault="00576E5B" w:rsidP="009D72EE">
                    <w:pPr>
                      <w:pStyle w:val="NoSpacing"/>
                      <w:jc w:val="right"/>
                      <w:rPr>
                        <w:rFonts w:ascii="Arial" w:hAnsi="Arial" w:cs="Arial"/>
                        <w:color w:val="0054A4"/>
                        <w:sz w:val="16"/>
                        <w:szCs w:val="16"/>
                      </w:rPr>
                    </w:pPr>
                  </w:p>
                  <w:p w14:paraId="14F9614B"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 xml:space="preserve">National Council of Australia </w:t>
                    </w:r>
                    <w:proofErr w:type="spellStart"/>
                    <w:r w:rsidRPr="000F3F55">
                      <w:rPr>
                        <w:rFonts w:ascii="Arial" w:hAnsi="Arial" w:cs="Arial"/>
                        <w:color w:val="0054A4"/>
                        <w:sz w:val="16"/>
                        <w:szCs w:val="16"/>
                      </w:rPr>
                      <w:t>Inc</w:t>
                    </w:r>
                    <w:proofErr w:type="spellEnd"/>
                  </w:p>
                  <w:p w14:paraId="3E1649D2"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 xml:space="preserve">22 </w:t>
                    </w:r>
                    <w:proofErr w:type="spellStart"/>
                    <w:r w:rsidRPr="000F3F55">
                      <w:rPr>
                        <w:rFonts w:ascii="Arial" w:hAnsi="Arial" w:cs="Arial"/>
                        <w:color w:val="0054A4"/>
                        <w:sz w:val="16"/>
                        <w:szCs w:val="16"/>
                      </w:rPr>
                      <w:t>Thesiger</w:t>
                    </w:r>
                    <w:proofErr w:type="spellEnd"/>
                    <w:r w:rsidRPr="000F3F55">
                      <w:rPr>
                        <w:rFonts w:ascii="Arial" w:hAnsi="Arial" w:cs="Arial"/>
                        <w:color w:val="0054A4"/>
                        <w:sz w:val="16"/>
                        <w:szCs w:val="16"/>
                      </w:rPr>
                      <w:t xml:space="preserve"> Court</w:t>
                    </w:r>
                  </w:p>
                  <w:p w14:paraId="781AD361"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Deakin ACT 2600</w:t>
                    </w:r>
                  </w:p>
                  <w:p w14:paraId="382C2521"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PO Box 243</w:t>
                    </w:r>
                  </w:p>
                  <w:p w14:paraId="10992441"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Deakin West ACT 2600</w:t>
                    </w:r>
                  </w:p>
                  <w:p w14:paraId="5E108D1B"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Telephone: (02) 6202 1200</w:t>
                    </w:r>
                  </w:p>
                  <w:p w14:paraId="3C022731"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Facsimile: (02) 6285 0159</w:t>
                    </w:r>
                  </w:p>
                  <w:p w14:paraId="39A6493C" w14:textId="77777777" w:rsidR="00576E5B" w:rsidRPr="000F3F55" w:rsidRDefault="00576E5B" w:rsidP="009D72EE">
                    <w:pPr>
                      <w:pStyle w:val="NoSpacing"/>
                      <w:jc w:val="right"/>
                      <w:rPr>
                        <w:rFonts w:ascii="Arial" w:hAnsi="Arial" w:cs="Arial"/>
                        <w:color w:val="0054A4"/>
                        <w:sz w:val="16"/>
                        <w:szCs w:val="16"/>
                        <w:u w:val="single"/>
                      </w:rPr>
                    </w:pPr>
                    <w:r w:rsidRPr="000F3F55">
                      <w:rPr>
                        <w:rFonts w:ascii="Arial" w:hAnsi="Arial" w:cs="Arial"/>
                        <w:color w:val="0054A4"/>
                        <w:sz w:val="16"/>
                        <w:szCs w:val="16"/>
                      </w:rPr>
                      <w:t xml:space="preserve">Website: </w:t>
                    </w:r>
                    <w:hyperlink r:id="rId9" w:history="1">
                      <w:r w:rsidRPr="000F3F55">
                        <w:rPr>
                          <w:rFonts w:ascii="Arial" w:hAnsi="Arial" w:cs="Arial"/>
                          <w:color w:val="0054A4"/>
                          <w:sz w:val="16"/>
                          <w:szCs w:val="16"/>
                          <w:u w:val="single"/>
                        </w:rPr>
                        <w:t>www.vinnies.org.au</w:t>
                      </w:r>
                    </w:hyperlink>
                  </w:p>
                  <w:p w14:paraId="3B5452BF" w14:textId="77777777" w:rsidR="00576E5B" w:rsidRPr="000F3F55" w:rsidRDefault="00576E5B" w:rsidP="009D72EE">
                    <w:pPr>
                      <w:pStyle w:val="NoSpacing"/>
                      <w:jc w:val="right"/>
                      <w:rPr>
                        <w:rFonts w:ascii="Arial" w:hAnsi="Arial" w:cs="Arial"/>
                        <w:color w:val="0054A4"/>
                        <w:sz w:val="16"/>
                        <w:szCs w:val="16"/>
                      </w:rPr>
                    </w:pPr>
                    <w:r w:rsidRPr="000F3F55">
                      <w:rPr>
                        <w:rFonts w:ascii="Arial" w:hAnsi="Arial" w:cs="Arial"/>
                        <w:color w:val="0054A4"/>
                        <w:sz w:val="16"/>
                        <w:szCs w:val="16"/>
                      </w:rPr>
                      <w:t>Donation Hotline: 13 18 12</w:t>
                    </w:r>
                  </w:p>
                </w:txbxContent>
              </v:textbox>
            </v:shape>
          </v:group>
          <o:OLEObject Type="Embed" ProgID="Photohse.Document" ShapeID="_x0000_s1028" DrawAspect="Content" ObjectID="_1554550481" r:id="rId10"/>
        </w:object>
      </w:r>
    </w:p>
    <w:p w14:paraId="32320805" w14:textId="77777777" w:rsidR="009D72EE" w:rsidRPr="00A119F0" w:rsidRDefault="009D72EE" w:rsidP="009D72EE"/>
    <w:p w14:paraId="446A7811" w14:textId="77777777" w:rsidR="009D72EE" w:rsidRPr="00A119F0" w:rsidRDefault="009D72EE" w:rsidP="009D72EE"/>
    <w:p w14:paraId="438CEC42" w14:textId="77777777" w:rsidR="009D72EE" w:rsidRPr="00A119F0" w:rsidRDefault="009D72EE" w:rsidP="009D72EE"/>
    <w:p w14:paraId="10506FC7" w14:textId="77777777" w:rsidR="009D72EE" w:rsidRPr="00A119F0" w:rsidRDefault="009D72EE" w:rsidP="009D72EE"/>
    <w:p w14:paraId="78DCE9ED" w14:textId="77777777" w:rsidR="009D72EE" w:rsidRPr="00781749" w:rsidRDefault="009D72EE" w:rsidP="009D72EE">
      <w:pPr>
        <w:pStyle w:val="NoSpacing"/>
        <w:rPr>
          <w:rFonts w:ascii="Palatino" w:hAnsi="Palatino"/>
        </w:rPr>
      </w:pPr>
    </w:p>
    <w:p w14:paraId="4E07119F" w14:textId="77777777" w:rsidR="009D72EE" w:rsidRPr="003D20F8" w:rsidRDefault="009D72EE" w:rsidP="009D72EE">
      <w:pPr>
        <w:pStyle w:val="NoSpacing"/>
        <w:rPr>
          <w:rFonts w:ascii="Palatino" w:hAnsi="Palatino"/>
        </w:rPr>
      </w:pPr>
    </w:p>
    <w:p w14:paraId="26352D85" w14:textId="0160B2E7" w:rsidR="009D72EE" w:rsidRDefault="009D72EE" w:rsidP="009D72EE">
      <w:pPr>
        <w:spacing w:after="0" w:line="240" w:lineRule="auto"/>
        <w:rPr>
          <w:rFonts w:ascii="Palatino Linotype" w:hAnsi="Palatino Linotype"/>
        </w:rPr>
      </w:pPr>
      <w:r w:rsidRPr="000566EE">
        <w:rPr>
          <w:rFonts w:ascii="Palatino Linotype" w:hAnsi="Palatino Linotype"/>
        </w:rPr>
        <w:t>Senate Standing Committees on Economics</w:t>
      </w:r>
      <w:r w:rsidRPr="000566EE">
        <w:rPr>
          <w:rFonts w:ascii="Palatino Linotype" w:hAnsi="Palatino Linotype"/>
        </w:rPr>
        <w:br/>
        <w:t>PO Box 6100</w:t>
      </w:r>
      <w:r w:rsidRPr="000566EE">
        <w:rPr>
          <w:rFonts w:ascii="Palatino Linotype" w:hAnsi="Palatino Linotype"/>
        </w:rPr>
        <w:br/>
        <w:t>Parliament House</w:t>
      </w:r>
      <w:r w:rsidRPr="000566EE">
        <w:rPr>
          <w:rFonts w:ascii="Palatino Linotype" w:hAnsi="Palatino Linotype"/>
        </w:rPr>
        <w:br/>
        <w:t>Canberra ACT 2600</w:t>
      </w:r>
    </w:p>
    <w:p w14:paraId="75BBF53F" w14:textId="77777777" w:rsidR="009D72EE" w:rsidRDefault="009D72EE" w:rsidP="009D72EE">
      <w:pPr>
        <w:spacing w:after="0" w:line="240" w:lineRule="auto"/>
        <w:rPr>
          <w:rFonts w:ascii="Palatino Linotype" w:hAnsi="Palatino Linotype"/>
        </w:rPr>
      </w:pPr>
    </w:p>
    <w:p w14:paraId="61201B3C" w14:textId="77777777" w:rsidR="009D72EE" w:rsidRDefault="009D72EE" w:rsidP="009D72EE">
      <w:pPr>
        <w:spacing w:after="0" w:line="240" w:lineRule="auto"/>
        <w:rPr>
          <w:rFonts w:ascii="Palatino Linotype" w:hAnsi="Palatino Linotype"/>
        </w:rPr>
      </w:pPr>
      <w:r>
        <w:rPr>
          <w:rFonts w:ascii="Palatino Linotype" w:hAnsi="Palatino Linotype"/>
        </w:rPr>
        <w:t>Submitted online</w:t>
      </w:r>
    </w:p>
    <w:p w14:paraId="27C1B76C" w14:textId="77777777" w:rsidR="009D72EE" w:rsidRDefault="009D72EE" w:rsidP="009D72EE">
      <w:pPr>
        <w:spacing w:after="0" w:line="240" w:lineRule="auto"/>
        <w:rPr>
          <w:rFonts w:ascii="Palatino Linotype" w:hAnsi="Palatino Linotype"/>
        </w:rPr>
      </w:pPr>
    </w:p>
    <w:p w14:paraId="4DA66FEB" w14:textId="62C80807" w:rsidR="009D72EE" w:rsidRDefault="009D72EE" w:rsidP="009D72EE">
      <w:pPr>
        <w:spacing w:after="0" w:line="240" w:lineRule="auto"/>
        <w:rPr>
          <w:rFonts w:ascii="Palatino Linotype" w:hAnsi="Palatino Linotype"/>
        </w:rPr>
      </w:pPr>
      <w:r>
        <w:rPr>
          <w:rFonts w:ascii="Palatino Linotype" w:hAnsi="Palatino Linotype"/>
        </w:rPr>
        <w:t>10 August 2015</w:t>
      </w:r>
    </w:p>
    <w:p w14:paraId="0520615E" w14:textId="77777777" w:rsidR="009D72EE" w:rsidRDefault="009D72EE" w:rsidP="009D72EE">
      <w:pPr>
        <w:spacing w:after="0" w:line="240" w:lineRule="auto"/>
        <w:rPr>
          <w:rFonts w:ascii="Palatino Linotype" w:hAnsi="Palatino Linotype"/>
        </w:rPr>
      </w:pPr>
    </w:p>
    <w:p w14:paraId="46440234" w14:textId="77777777" w:rsidR="009D72EE" w:rsidRDefault="009D72EE" w:rsidP="009D72EE">
      <w:pPr>
        <w:spacing w:after="0" w:line="240" w:lineRule="auto"/>
        <w:rPr>
          <w:rFonts w:ascii="Palatino Linotype" w:hAnsi="Palatino Linotype"/>
        </w:rPr>
      </w:pPr>
    </w:p>
    <w:p w14:paraId="3A15616E" w14:textId="77777777" w:rsidR="009D72EE" w:rsidRDefault="009D72EE" w:rsidP="009D72EE">
      <w:pPr>
        <w:spacing w:after="0" w:line="240" w:lineRule="auto"/>
        <w:rPr>
          <w:rFonts w:ascii="Palatino Linotype" w:hAnsi="Palatino Linotype"/>
        </w:rPr>
      </w:pPr>
    </w:p>
    <w:p w14:paraId="614778F3" w14:textId="77777777" w:rsidR="009D72EE" w:rsidRPr="006C7C4D" w:rsidRDefault="009D72EE" w:rsidP="009D72EE">
      <w:pPr>
        <w:spacing w:after="0" w:line="240" w:lineRule="auto"/>
        <w:rPr>
          <w:rFonts w:ascii="Palatino Linotype" w:hAnsi="Palatino Linotype"/>
        </w:rPr>
      </w:pPr>
    </w:p>
    <w:p w14:paraId="0DF7E0C4" w14:textId="4949942B" w:rsidR="009D72EE" w:rsidRPr="000566EE" w:rsidRDefault="009D72EE" w:rsidP="009D72EE">
      <w:pPr>
        <w:pStyle w:val="Title"/>
        <w:pBdr>
          <w:bottom w:val="single" w:sz="4" w:space="1" w:color="auto"/>
        </w:pBdr>
      </w:pPr>
      <w:r w:rsidRPr="000566EE">
        <w:t xml:space="preserve">Submission on </w:t>
      </w:r>
      <w:r w:rsidR="000566EE" w:rsidRPr="000566EE">
        <w:t>Matters Relating to Credit Card Interest Rates</w:t>
      </w:r>
    </w:p>
    <w:p w14:paraId="7976748D" w14:textId="77777777" w:rsidR="009D72EE" w:rsidRPr="00A119F0" w:rsidRDefault="009D72EE" w:rsidP="009D72EE">
      <w:r w:rsidRPr="00A119F0">
        <w:br w:type="page"/>
      </w:r>
    </w:p>
    <w:p w14:paraId="63741F7A" w14:textId="77777777" w:rsidR="009D72EE" w:rsidRPr="00E97FD1" w:rsidRDefault="009D72EE" w:rsidP="009D72EE">
      <w:pPr>
        <w:jc w:val="both"/>
        <w:rPr>
          <w:rFonts w:ascii="Palatino Linotype" w:hAnsi="Palatino Linotype"/>
        </w:rPr>
      </w:pPr>
      <w:r w:rsidRPr="006C7C4D">
        <w:rPr>
          <w:rFonts w:ascii="Palatino Linotype" w:hAnsi="Palatino Linotype"/>
        </w:rPr>
        <w:lastRenderedPageBreak/>
        <w:t>The St Vincent de Paul Society (the Society) is a respected lay Catholic charitable organisation operating in 149 countries around the world. Our work in Australia covers every state and territory, and is carried out by more than 6</w:t>
      </w:r>
      <w:r>
        <w:rPr>
          <w:rFonts w:ascii="Palatino Linotype" w:hAnsi="Palatino Linotype"/>
        </w:rPr>
        <w:t>5</w:t>
      </w:r>
      <w:r w:rsidRPr="006C7C4D">
        <w:rPr>
          <w:rFonts w:ascii="Palatino Linotype" w:hAnsi="Palatino Linotype"/>
        </w:rPr>
        <w:t xml:space="preserve">,000 members, volunteers, and employees.  Our people are deeply committed to social assistance and social justice, and our mission is to provide </w:t>
      </w:r>
      <w:r w:rsidRPr="00E97FD1">
        <w:rPr>
          <w:rFonts w:ascii="Palatino Linotype" w:hAnsi="Palatino Linotype"/>
        </w:rPr>
        <w:t>help for those who are marginalised by structures of exclusion.  Our programs assist millions of Australians each year, including people living with mental illness, people who are homeless and insecurely housed, migrants and refugees, and people experiencing poverty.</w:t>
      </w:r>
    </w:p>
    <w:p w14:paraId="067C87DF" w14:textId="77777777" w:rsidR="00E97FD1" w:rsidRDefault="00E97FD1" w:rsidP="00E97FD1">
      <w:pPr>
        <w:pStyle w:val="Heading1"/>
      </w:pPr>
      <w:r>
        <w:t>Background</w:t>
      </w:r>
    </w:p>
    <w:p w14:paraId="6BE00E17" w14:textId="52C9101F" w:rsidR="007517EC" w:rsidRDefault="00AF57D5" w:rsidP="000566EE">
      <w:pPr>
        <w:jc w:val="both"/>
        <w:rPr>
          <w:rFonts w:ascii="Palatino Linotype" w:hAnsi="Palatino Linotype"/>
        </w:rPr>
      </w:pPr>
      <w:r w:rsidRPr="00E97FD1">
        <w:rPr>
          <w:rFonts w:ascii="Palatino Linotype" w:hAnsi="Palatino Linotype"/>
        </w:rPr>
        <w:t>On</w:t>
      </w:r>
      <w:r w:rsidR="00350D52">
        <w:rPr>
          <w:rFonts w:ascii="Palatino Linotype" w:hAnsi="Palatino Linotype"/>
        </w:rPr>
        <w:t xml:space="preserve"> </w:t>
      </w:r>
      <w:r w:rsidRPr="00E97FD1">
        <w:rPr>
          <w:rFonts w:ascii="Palatino Linotype" w:hAnsi="Palatino Linotype"/>
        </w:rPr>
        <w:t>24</w:t>
      </w:r>
      <w:r w:rsidR="00350D52">
        <w:rPr>
          <w:rFonts w:ascii="Palatino Linotype" w:hAnsi="Palatino Linotype"/>
        </w:rPr>
        <w:t xml:space="preserve"> </w:t>
      </w:r>
      <w:r w:rsidRPr="00E97FD1">
        <w:rPr>
          <w:rFonts w:ascii="Palatino Linotype" w:hAnsi="Palatino Linotype"/>
        </w:rPr>
        <w:t>June 2015, the Senate referred an inquiry into</w:t>
      </w:r>
      <w:r w:rsidR="009D72EE" w:rsidRPr="00E97FD1">
        <w:rPr>
          <w:rFonts w:ascii="Palatino Linotype" w:hAnsi="Palatino Linotype"/>
        </w:rPr>
        <w:t xml:space="preserve"> </w:t>
      </w:r>
      <w:r w:rsidRPr="00E97FD1">
        <w:rPr>
          <w:rFonts w:ascii="Palatino Linotype" w:hAnsi="Palatino Linotype"/>
        </w:rPr>
        <w:t>matters relating to credit card interest rates</w:t>
      </w:r>
      <w:r w:rsidR="009D72EE" w:rsidRPr="00E97FD1">
        <w:rPr>
          <w:rFonts w:ascii="Palatino Linotype" w:hAnsi="Palatino Linotype"/>
        </w:rPr>
        <w:t xml:space="preserve"> </w:t>
      </w:r>
      <w:r w:rsidRPr="00E97FD1">
        <w:rPr>
          <w:rFonts w:ascii="Palatino Linotype" w:hAnsi="Palatino Linotype"/>
        </w:rPr>
        <w:t>to the Senate Economics References Committee</w:t>
      </w:r>
      <w:r w:rsidR="00350D52">
        <w:rPr>
          <w:rFonts w:ascii="Palatino Linotype" w:hAnsi="Palatino Linotype"/>
        </w:rPr>
        <w:t>,</w:t>
      </w:r>
      <w:r w:rsidRPr="00E97FD1">
        <w:rPr>
          <w:rFonts w:ascii="Palatino Linotype" w:hAnsi="Palatino Linotype"/>
        </w:rPr>
        <w:t xml:space="preserve"> and the Society </w:t>
      </w:r>
      <w:r w:rsidR="004B57DD" w:rsidRPr="00E97FD1">
        <w:rPr>
          <w:rFonts w:ascii="Palatino Linotype" w:hAnsi="Palatino Linotype"/>
        </w:rPr>
        <w:t xml:space="preserve">was invited </w:t>
      </w:r>
      <w:r w:rsidRPr="00E97FD1">
        <w:rPr>
          <w:rFonts w:ascii="Palatino Linotype" w:hAnsi="Palatino Linotype"/>
        </w:rPr>
        <w:t>to make a submission</w:t>
      </w:r>
      <w:r w:rsidR="004B57DD" w:rsidRPr="00E97FD1">
        <w:rPr>
          <w:rFonts w:ascii="Palatino Linotype" w:hAnsi="Palatino Linotype"/>
        </w:rPr>
        <w:t xml:space="preserve"> on 14 July 2015</w:t>
      </w:r>
      <w:r w:rsidRPr="00E97FD1">
        <w:rPr>
          <w:rFonts w:ascii="Palatino Linotype" w:hAnsi="Palatino Linotype"/>
        </w:rPr>
        <w:t>.</w:t>
      </w:r>
      <w:r w:rsidR="007517EC" w:rsidRPr="00E97FD1">
        <w:rPr>
          <w:rFonts w:ascii="Palatino Linotype" w:hAnsi="Palatino Linotype"/>
        </w:rPr>
        <w:t xml:space="preserve">  </w:t>
      </w:r>
    </w:p>
    <w:p w14:paraId="6769676B" w14:textId="2E67281D" w:rsidR="001F7F2D" w:rsidRDefault="00E97FD1" w:rsidP="00E97FD1">
      <w:pPr>
        <w:rPr>
          <w:rFonts w:ascii="Palatino Linotype" w:hAnsi="Palatino Linotype"/>
        </w:rPr>
      </w:pPr>
      <w:r w:rsidRPr="00E97FD1">
        <w:rPr>
          <w:rFonts w:ascii="Palatino Linotype" w:hAnsi="Palatino Linotype"/>
        </w:rPr>
        <w:t xml:space="preserve">The call by the Senate to investigate the widening gap between the Reserve Bank of Australia’s (RBA) official low cash rate and the high interest charged on credit card purchases by financial institutions is long overdue, particularly for people living on low incomes.  </w:t>
      </w:r>
      <w:r w:rsidR="001F7F2D" w:rsidRPr="00E97FD1">
        <w:rPr>
          <w:rFonts w:ascii="Palatino Linotype" w:hAnsi="Palatino Linotype"/>
        </w:rPr>
        <w:t xml:space="preserve">Families and individuals on income support payments have reported that they have unsustainable levels of personal debt and owe more than they can afford; primarily those on </w:t>
      </w:r>
      <w:proofErr w:type="spellStart"/>
      <w:r w:rsidR="001F7F2D" w:rsidRPr="00E97FD1">
        <w:rPr>
          <w:rFonts w:ascii="Palatino Linotype" w:hAnsi="Palatino Linotype"/>
        </w:rPr>
        <w:t>Newstart</w:t>
      </w:r>
      <w:proofErr w:type="spellEnd"/>
      <w:r w:rsidR="001F7F2D" w:rsidRPr="00E97FD1">
        <w:rPr>
          <w:rFonts w:ascii="Palatino Linotype" w:hAnsi="Palatino Linotype"/>
        </w:rPr>
        <w:t>, Youth Allowance, the Disability Support Pension and, to a lesser extent, those on the Aged Pension.</w:t>
      </w:r>
      <w:r w:rsidR="001F7F2D" w:rsidRPr="00E97FD1">
        <w:rPr>
          <w:rStyle w:val="FootnoteReference"/>
          <w:rFonts w:ascii="Palatino Linotype" w:hAnsi="Palatino Linotype"/>
        </w:rPr>
        <w:footnoteReference w:id="1"/>
      </w:r>
      <w:r w:rsidR="001F7F2D" w:rsidRPr="00E97FD1">
        <w:rPr>
          <w:rFonts w:ascii="Palatino Linotype" w:hAnsi="Palatino Linotype"/>
        </w:rPr>
        <w:t xml:space="preserve">  </w:t>
      </w:r>
      <w:r w:rsidR="001F7F2D">
        <w:rPr>
          <w:rFonts w:ascii="Palatino Linotype" w:hAnsi="Palatino Linotype"/>
        </w:rPr>
        <w:t>In our work every day, we see t</w:t>
      </w:r>
      <w:r w:rsidR="001F7F2D" w:rsidRPr="00E97FD1">
        <w:rPr>
          <w:rFonts w:ascii="Palatino Linotype" w:hAnsi="Palatino Linotype"/>
        </w:rPr>
        <w:t>hese economically vulnerable families and individuals resort to borrowing money, selling items of value, taking out short-term pay day loans, and seeking the assistance of welfare services in addition to increasing the limit or taking out new credit cards when the offer is made available.</w:t>
      </w:r>
      <w:r w:rsidR="001F7F2D" w:rsidRPr="00E97FD1">
        <w:rPr>
          <w:rStyle w:val="FootnoteReference"/>
          <w:rFonts w:ascii="Palatino Linotype" w:hAnsi="Palatino Linotype"/>
        </w:rPr>
        <w:footnoteReference w:id="2"/>
      </w:r>
      <w:r w:rsidR="001F7F2D" w:rsidRPr="00E97FD1">
        <w:rPr>
          <w:rFonts w:ascii="Palatino Linotype" w:hAnsi="Palatino Linotype"/>
        </w:rPr>
        <w:t xml:space="preserve">  </w:t>
      </w:r>
    </w:p>
    <w:p w14:paraId="6E010D9F" w14:textId="5E8D224A" w:rsidR="00E97FD1" w:rsidRDefault="00E97FD1" w:rsidP="00E97FD1">
      <w:pPr>
        <w:rPr>
          <w:rFonts w:ascii="Palatino Linotype" w:hAnsi="Palatino Linotype"/>
        </w:rPr>
      </w:pPr>
      <w:r w:rsidRPr="00E97FD1">
        <w:rPr>
          <w:rFonts w:ascii="Palatino Linotype" w:hAnsi="Palatino Linotype"/>
        </w:rPr>
        <w:t xml:space="preserve">This submissions sets out the main ways in which credit card rates impact the most on those Australians on low incomes, before making several recommendations to ameliorate the current situation. </w:t>
      </w:r>
      <w:r>
        <w:rPr>
          <w:rFonts w:ascii="Palatino Linotype" w:hAnsi="Palatino Linotype"/>
        </w:rPr>
        <w:t xml:space="preserve"> </w:t>
      </w:r>
      <w:r w:rsidRPr="00E97FD1">
        <w:rPr>
          <w:rFonts w:ascii="Palatino Linotype" w:hAnsi="Palatino Linotype"/>
        </w:rPr>
        <w:t>The National Council of St Vincent de Paul Society wishes to thank the Senate Committee for the opportunity to make this contribution and welcomes further engagement regarding its content.</w:t>
      </w:r>
    </w:p>
    <w:p w14:paraId="2D321B27" w14:textId="77777777" w:rsidR="001F7F2D" w:rsidRDefault="001F7F2D" w:rsidP="001F7F2D">
      <w:pPr>
        <w:pStyle w:val="Heading1"/>
      </w:pPr>
      <w:r>
        <w:t>The Necessity of Credit for those on Low Incomes</w:t>
      </w:r>
    </w:p>
    <w:p w14:paraId="7648711F" w14:textId="77777777" w:rsidR="001F7F2D" w:rsidRPr="00E97FD1" w:rsidRDefault="001F7F2D" w:rsidP="001F7F2D">
      <w:pPr>
        <w:rPr>
          <w:rFonts w:ascii="Palatino Linotype" w:hAnsi="Palatino Linotype"/>
        </w:rPr>
      </w:pPr>
      <w:r w:rsidRPr="00E97FD1">
        <w:rPr>
          <w:rFonts w:ascii="Palatino Linotype" w:hAnsi="Palatino Linotype"/>
        </w:rPr>
        <w:t>Although the proportion of Australian households with credit card debt has declined from 57% in 2003 – 2004 to 53% in 2011 - 2012</w:t>
      </w:r>
      <w:r w:rsidRPr="00E97FD1">
        <w:rPr>
          <w:rStyle w:val="FootnoteReference"/>
          <w:rFonts w:ascii="Palatino Linotype" w:hAnsi="Palatino Linotype"/>
        </w:rPr>
        <w:footnoteReference w:id="3"/>
      </w:r>
      <w:r w:rsidRPr="00E97FD1">
        <w:rPr>
          <w:rFonts w:ascii="Palatino Linotype" w:hAnsi="Palatino Linotype"/>
        </w:rPr>
        <w:t xml:space="preserve"> there has been a steady increase in the use of credit cards as a preferred payment method for most goods and services.  In a society where credit card use is rapidly becoming the preferred method of payment for many goods and </w:t>
      </w:r>
      <w:proofErr w:type="gramStart"/>
      <w:r w:rsidRPr="00E97FD1">
        <w:rPr>
          <w:rFonts w:ascii="Palatino Linotype" w:hAnsi="Palatino Linotype"/>
        </w:rPr>
        <w:lastRenderedPageBreak/>
        <w:t>services</w:t>
      </w:r>
      <w:proofErr w:type="gramEnd"/>
      <w:r w:rsidRPr="00E97FD1">
        <w:rPr>
          <w:rStyle w:val="FootnoteReference"/>
          <w:rFonts w:ascii="Palatino Linotype" w:hAnsi="Palatino Linotype"/>
        </w:rPr>
        <w:footnoteReference w:id="4"/>
      </w:r>
      <w:r w:rsidRPr="00E97FD1">
        <w:rPr>
          <w:rFonts w:ascii="Palatino Linotype" w:hAnsi="Palatino Linotype"/>
        </w:rPr>
        <w:t>, having a credit card equates to being able to participate in the very structure of society for those who are financially disadvantaged and marginalised.</w:t>
      </w:r>
    </w:p>
    <w:p w14:paraId="542896D1" w14:textId="563EB695" w:rsidR="001F7F2D" w:rsidRPr="00E97FD1" w:rsidRDefault="001F7F2D" w:rsidP="001F7F2D">
      <w:pPr>
        <w:pBdr>
          <w:top w:val="single" w:sz="4" w:space="1" w:color="auto"/>
          <w:left w:val="single" w:sz="4" w:space="4" w:color="auto"/>
          <w:bottom w:val="single" w:sz="4" w:space="1" w:color="auto"/>
          <w:right w:val="single" w:sz="4" w:space="4" w:color="auto"/>
        </w:pBdr>
        <w:ind w:left="567" w:right="567"/>
        <w:rPr>
          <w:rFonts w:asciiTheme="majorHAnsi" w:hAnsiTheme="majorHAnsi"/>
          <w:b/>
          <w:color w:val="FF0000"/>
        </w:rPr>
      </w:pPr>
      <w:r w:rsidRPr="00E97FD1">
        <w:rPr>
          <w:rFonts w:asciiTheme="majorHAnsi" w:hAnsiTheme="majorHAnsi"/>
          <w:b/>
        </w:rPr>
        <w:t xml:space="preserve">Case Study:  </w:t>
      </w:r>
      <w:r w:rsidR="00C72015">
        <w:rPr>
          <w:rFonts w:asciiTheme="majorHAnsi" w:hAnsiTheme="majorHAnsi"/>
          <w:b/>
        </w:rPr>
        <w:t xml:space="preserve">A </w:t>
      </w:r>
      <w:r w:rsidRPr="00E97FD1">
        <w:rPr>
          <w:rFonts w:asciiTheme="majorHAnsi" w:hAnsiTheme="majorHAnsi"/>
          <w:b/>
        </w:rPr>
        <w:t>Volunteer with St Vincent de Paul Society met Grace*</w:t>
      </w:r>
      <w:r w:rsidR="00350D52">
        <w:rPr>
          <w:rFonts w:asciiTheme="majorHAnsi" w:hAnsiTheme="majorHAnsi"/>
          <w:b/>
        </w:rPr>
        <w:t xml:space="preserve"> – </w:t>
      </w:r>
      <w:r w:rsidR="00C72015">
        <w:rPr>
          <w:rFonts w:asciiTheme="majorHAnsi" w:hAnsiTheme="majorHAnsi"/>
          <w:b/>
        </w:rPr>
        <w:t>a</w:t>
      </w:r>
      <w:r w:rsidR="00350D52">
        <w:rPr>
          <w:rFonts w:asciiTheme="majorHAnsi" w:hAnsiTheme="majorHAnsi"/>
          <w:b/>
        </w:rPr>
        <w:t xml:space="preserve"> </w:t>
      </w:r>
      <w:r w:rsidR="00C72015">
        <w:rPr>
          <w:rFonts w:asciiTheme="majorHAnsi" w:hAnsiTheme="majorHAnsi"/>
          <w:b/>
        </w:rPr>
        <w:t>sole</w:t>
      </w:r>
      <w:r w:rsidRPr="00E97FD1">
        <w:rPr>
          <w:rFonts w:asciiTheme="majorHAnsi" w:hAnsiTheme="majorHAnsi"/>
          <w:b/>
        </w:rPr>
        <w:t xml:space="preserve"> parent who had fled a violent marriage</w:t>
      </w:r>
      <w:r w:rsidR="00350D52">
        <w:rPr>
          <w:rFonts w:asciiTheme="majorHAnsi" w:hAnsiTheme="majorHAnsi"/>
          <w:b/>
        </w:rPr>
        <w:t xml:space="preserve"> –</w:t>
      </w:r>
      <w:r w:rsidRPr="00E97FD1">
        <w:rPr>
          <w:rFonts w:asciiTheme="majorHAnsi" w:hAnsiTheme="majorHAnsi"/>
          <w:b/>
        </w:rPr>
        <w:t xml:space="preserve"> and</w:t>
      </w:r>
      <w:r w:rsidR="00350D52">
        <w:rPr>
          <w:rFonts w:asciiTheme="majorHAnsi" w:hAnsiTheme="majorHAnsi"/>
          <w:b/>
        </w:rPr>
        <w:t xml:space="preserve"> </w:t>
      </w:r>
      <w:r w:rsidRPr="00E97FD1">
        <w:rPr>
          <w:rFonts w:asciiTheme="majorHAnsi" w:hAnsiTheme="majorHAnsi"/>
          <w:b/>
        </w:rPr>
        <w:t xml:space="preserve">her two children aged 4 and 14. </w:t>
      </w:r>
    </w:p>
    <w:p w14:paraId="342EA0C6" w14:textId="212B1791" w:rsidR="001F7F2D" w:rsidRPr="00E97FD1" w:rsidRDefault="001F7F2D" w:rsidP="001F7F2D">
      <w:pPr>
        <w:pBdr>
          <w:top w:val="single" w:sz="4" w:space="1" w:color="auto"/>
          <w:left w:val="single" w:sz="4" w:space="4" w:color="auto"/>
          <w:bottom w:val="single" w:sz="4" w:space="1" w:color="auto"/>
          <w:right w:val="single" w:sz="4" w:space="4" w:color="auto"/>
        </w:pBdr>
        <w:ind w:left="567" w:right="567"/>
        <w:rPr>
          <w:rFonts w:asciiTheme="majorHAnsi" w:hAnsiTheme="majorHAnsi"/>
        </w:rPr>
      </w:pPr>
      <w:r w:rsidRPr="00E97FD1">
        <w:rPr>
          <w:rFonts w:asciiTheme="majorHAnsi" w:hAnsiTheme="majorHAnsi"/>
        </w:rPr>
        <w:t>Grace felt pressured to hold on to her credit cards, even though she couldn’t afford to pay much more than the minimum amount each month</w:t>
      </w:r>
      <w:r w:rsidR="00350D52">
        <w:rPr>
          <w:rFonts w:asciiTheme="majorHAnsi" w:hAnsiTheme="majorHAnsi"/>
        </w:rPr>
        <w:t xml:space="preserve">.  Grace had been </w:t>
      </w:r>
      <w:r w:rsidRPr="00E97FD1">
        <w:rPr>
          <w:rFonts w:asciiTheme="majorHAnsi" w:hAnsiTheme="majorHAnsi"/>
        </w:rPr>
        <w:t xml:space="preserve">offered </w:t>
      </w:r>
      <w:r w:rsidR="00350D52">
        <w:rPr>
          <w:rFonts w:asciiTheme="majorHAnsi" w:hAnsiTheme="majorHAnsi"/>
        </w:rPr>
        <w:t xml:space="preserve">the cards </w:t>
      </w:r>
      <w:r w:rsidRPr="00E97FD1">
        <w:rPr>
          <w:rFonts w:asciiTheme="majorHAnsi" w:hAnsiTheme="majorHAnsi"/>
        </w:rPr>
        <w:t>whilst working and married</w:t>
      </w:r>
      <w:r w:rsidR="00350D52">
        <w:rPr>
          <w:rFonts w:asciiTheme="majorHAnsi" w:hAnsiTheme="majorHAnsi"/>
        </w:rPr>
        <w:t xml:space="preserve">, and </w:t>
      </w:r>
      <w:r w:rsidRPr="00E97FD1">
        <w:rPr>
          <w:rFonts w:asciiTheme="majorHAnsi" w:hAnsiTheme="majorHAnsi"/>
        </w:rPr>
        <w:t xml:space="preserve">wasn’t sure if the banks would </w:t>
      </w:r>
      <w:r w:rsidR="00350D52">
        <w:rPr>
          <w:rFonts w:asciiTheme="majorHAnsi" w:hAnsiTheme="majorHAnsi"/>
        </w:rPr>
        <w:t>reissue her new cards</w:t>
      </w:r>
      <w:r w:rsidRPr="00E97FD1">
        <w:rPr>
          <w:rFonts w:asciiTheme="majorHAnsi" w:hAnsiTheme="majorHAnsi"/>
        </w:rPr>
        <w:t xml:space="preserve"> now that she was a sole parent.  Grace felt as though</w:t>
      </w:r>
      <w:r w:rsidR="00350D52">
        <w:rPr>
          <w:rFonts w:asciiTheme="majorHAnsi" w:hAnsiTheme="majorHAnsi"/>
        </w:rPr>
        <w:t xml:space="preserve"> keeping her old</w:t>
      </w:r>
      <w:r w:rsidRPr="00E97FD1">
        <w:rPr>
          <w:rFonts w:asciiTheme="majorHAnsi" w:hAnsiTheme="majorHAnsi"/>
        </w:rPr>
        <w:t xml:space="preserve"> credit cards kept her safe, allowing her to cope when the big bills came in or when the children’s school had an unexpected excursion that she couldn’t afford. Grace held on to her credit cards as she felt most places now require credit card payments and she needed them to survive. </w:t>
      </w:r>
    </w:p>
    <w:p w14:paraId="7BDAA564" w14:textId="77777777" w:rsidR="001F7F2D" w:rsidRPr="00E97FD1" w:rsidRDefault="001F7F2D" w:rsidP="001F7F2D">
      <w:pPr>
        <w:pBdr>
          <w:top w:val="single" w:sz="4" w:space="1" w:color="auto"/>
          <w:left w:val="single" w:sz="4" w:space="4" w:color="auto"/>
          <w:bottom w:val="single" w:sz="4" w:space="1" w:color="auto"/>
          <w:right w:val="single" w:sz="4" w:space="4" w:color="auto"/>
        </w:pBdr>
        <w:ind w:left="567" w:right="567"/>
        <w:rPr>
          <w:rFonts w:asciiTheme="majorHAnsi" w:hAnsiTheme="majorHAnsi"/>
        </w:rPr>
      </w:pPr>
      <w:r w:rsidRPr="00E97FD1">
        <w:rPr>
          <w:rFonts w:asciiTheme="majorHAnsi" w:hAnsiTheme="majorHAnsi"/>
        </w:rPr>
        <w:t>*not her real name</w:t>
      </w:r>
    </w:p>
    <w:p w14:paraId="5FD8AF4E" w14:textId="0D33C8DB" w:rsidR="001F7F2D" w:rsidRPr="00E97FD1" w:rsidRDefault="001F7F2D" w:rsidP="001F7F2D">
      <w:pPr>
        <w:rPr>
          <w:rFonts w:ascii="Palatino Linotype" w:hAnsi="Palatino Linotype"/>
        </w:rPr>
      </w:pPr>
      <w:r w:rsidRPr="00E97FD1">
        <w:rPr>
          <w:rFonts w:ascii="Palatino Linotype" w:hAnsi="Palatino Linotype"/>
        </w:rPr>
        <w:t>This contributes to a form of socio-economic pressure</w:t>
      </w:r>
      <w:r w:rsidR="00350D52">
        <w:rPr>
          <w:rFonts w:ascii="Palatino Linotype" w:hAnsi="Palatino Linotype"/>
        </w:rPr>
        <w:t>,</w:t>
      </w:r>
      <w:r w:rsidRPr="00E97FD1">
        <w:rPr>
          <w:rFonts w:ascii="Palatino Linotype" w:hAnsi="Palatino Linotype"/>
        </w:rPr>
        <w:t xml:space="preserve"> where low income earners are torn between holding on to the security that credit cards offer in terms of being able to manage unexpected costs, such as excessive winter bills, and struggling with excessive credit card debt and interest payments on their low incomes.  </w:t>
      </w:r>
    </w:p>
    <w:p w14:paraId="16CA1C94" w14:textId="16AD2F5C" w:rsidR="001F7F2D" w:rsidRDefault="001F7F2D" w:rsidP="001F7F2D">
      <w:pPr>
        <w:rPr>
          <w:rFonts w:ascii="Palatino Linotype" w:hAnsi="Palatino Linotype"/>
        </w:rPr>
      </w:pPr>
      <w:r w:rsidRPr="00E97FD1">
        <w:rPr>
          <w:rFonts w:ascii="Palatino Linotype" w:hAnsi="Palatino Linotype"/>
        </w:rPr>
        <w:t>With an unemployment rate of 6% in June</w:t>
      </w:r>
      <w:r w:rsidR="00C55F20">
        <w:rPr>
          <w:rFonts w:ascii="Palatino Linotype" w:hAnsi="Palatino Linotype"/>
        </w:rPr>
        <w:t xml:space="preserve"> this year</w:t>
      </w:r>
      <w:r w:rsidRPr="00E97FD1">
        <w:rPr>
          <w:rFonts w:ascii="Palatino Linotype" w:hAnsi="Palatino Linotype"/>
        </w:rPr>
        <w:t>,</w:t>
      </w:r>
      <w:r w:rsidRPr="00E97FD1">
        <w:rPr>
          <w:rStyle w:val="FootnoteReference"/>
          <w:rFonts w:ascii="Palatino Linotype" w:hAnsi="Palatino Linotype"/>
        </w:rPr>
        <w:footnoteReference w:id="5"/>
      </w:r>
      <w:r w:rsidRPr="00E97FD1">
        <w:rPr>
          <w:rFonts w:ascii="Palatino Linotype" w:hAnsi="Palatino Linotype"/>
        </w:rPr>
        <w:t xml:space="preserve"> and with many low income earners already experiencing underemployment,</w:t>
      </w:r>
      <w:r w:rsidR="00350D52">
        <w:rPr>
          <w:rStyle w:val="FootnoteReference"/>
          <w:rFonts w:ascii="Palatino Linotype" w:hAnsi="Palatino Linotype"/>
        </w:rPr>
        <w:footnoteReference w:id="6"/>
      </w:r>
      <w:r w:rsidRPr="00E97FD1">
        <w:rPr>
          <w:rFonts w:ascii="Palatino Linotype" w:hAnsi="Palatino Linotype"/>
        </w:rPr>
        <w:t xml:space="preserve"> it is likely that more financially vulnerable people will be using credit cards to tide them over in-between periods of employment.  It is ironic that</w:t>
      </w:r>
      <w:r w:rsidR="00576E5B">
        <w:rPr>
          <w:rFonts w:ascii="Palatino Linotype" w:hAnsi="Palatino Linotype"/>
        </w:rPr>
        <w:t>,</w:t>
      </w:r>
      <w:r w:rsidRPr="00E97FD1">
        <w:rPr>
          <w:rFonts w:ascii="Palatino Linotype" w:hAnsi="Palatino Linotype"/>
        </w:rPr>
        <w:t xml:space="preserve"> in an era where banks are still reporting growth in profits</w:t>
      </w:r>
      <w:r w:rsidR="00576E5B">
        <w:rPr>
          <w:rFonts w:ascii="Palatino Linotype" w:hAnsi="Palatino Linotype"/>
        </w:rPr>
        <w:t>,</w:t>
      </w:r>
      <w:r w:rsidRPr="00E97FD1">
        <w:rPr>
          <w:rStyle w:val="FootnoteReference"/>
          <w:rFonts w:ascii="Palatino Linotype" w:hAnsi="Palatino Linotype"/>
        </w:rPr>
        <w:footnoteReference w:id="7"/>
      </w:r>
      <w:r w:rsidRPr="00E97FD1">
        <w:rPr>
          <w:rFonts w:ascii="Palatino Linotype" w:hAnsi="Palatino Linotype"/>
        </w:rPr>
        <w:t xml:space="preserve"> some of the banks’ most profitable customers are those on low incomes caught in the spiral of credit card debt.</w:t>
      </w:r>
      <w:r w:rsidRPr="00E97FD1">
        <w:rPr>
          <w:rStyle w:val="FootnoteReference"/>
          <w:rFonts w:ascii="Palatino Linotype" w:hAnsi="Palatino Linotype"/>
        </w:rPr>
        <w:footnoteReference w:id="8"/>
      </w:r>
      <w:r w:rsidRPr="00E97FD1">
        <w:rPr>
          <w:rFonts w:ascii="Palatino Linotype" w:hAnsi="Palatino Linotype"/>
        </w:rPr>
        <w:t xml:space="preserve"> </w:t>
      </w:r>
    </w:p>
    <w:p w14:paraId="4D4CADE9" w14:textId="77777777" w:rsidR="001F7F2D" w:rsidRPr="00E97FD1" w:rsidRDefault="001F7F2D" w:rsidP="00C55F20">
      <w:pPr>
        <w:pStyle w:val="Heading1"/>
      </w:pPr>
      <w:r>
        <w:t>Different Banking Behaviours</w:t>
      </w:r>
    </w:p>
    <w:p w14:paraId="11B89F49" w14:textId="073BA0E7" w:rsidR="001F7F2D" w:rsidRPr="00E97FD1" w:rsidRDefault="00953841" w:rsidP="001F7F2D">
      <w:pPr>
        <w:rPr>
          <w:rFonts w:ascii="Palatino Linotype" w:hAnsi="Palatino Linotype"/>
        </w:rPr>
      </w:pPr>
      <w:r>
        <w:rPr>
          <w:rFonts w:ascii="Palatino Linotype" w:hAnsi="Palatino Linotype"/>
        </w:rPr>
        <w:t>Moreover, p</w:t>
      </w:r>
      <w:r w:rsidR="001F7F2D" w:rsidRPr="00E97FD1">
        <w:rPr>
          <w:rFonts w:ascii="Palatino Linotype" w:hAnsi="Palatino Linotype"/>
        </w:rPr>
        <w:t xml:space="preserve">eople on low incomes typically have banking behaviours that differ </w:t>
      </w:r>
      <w:r>
        <w:rPr>
          <w:rFonts w:ascii="Palatino Linotype" w:hAnsi="Palatino Linotype"/>
        </w:rPr>
        <w:t xml:space="preserve">markedly </w:t>
      </w:r>
      <w:r w:rsidR="001F7F2D" w:rsidRPr="00E97FD1">
        <w:rPr>
          <w:rFonts w:ascii="Palatino Linotype" w:hAnsi="Palatino Linotype"/>
        </w:rPr>
        <w:t>to high income earners</w:t>
      </w:r>
      <w:r>
        <w:rPr>
          <w:rFonts w:ascii="Palatino Linotype" w:hAnsi="Palatino Linotype"/>
        </w:rPr>
        <w:t>.  T</w:t>
      </w:r>
      <w:r w:rsidR="001F7F2D" w:rsidRPr="00E97FD1">
        <w:rPr>
          <w:rFonts w:ascii="Palatino Linotype" w:hAnsi="Palatino Linotype"/>
        </w:rPr>
        <w:t>hese behaviours include making numerous withdrawals of small sums of cash in each pay-period and using cash transactions more often.</w:t>
      </w:r>
      <w:r w:rsidR="001F7F2D" w:rsidRPr="00E97FD1">
        <w:rPr>
          <w:rStyle w:val="FootnoteReference"/>
          <w:rFonts w:ascii="Palatino Linotype" w:hAnsi="Palatino Linotype"/>
        </w:rPr>
        <w:footnoteReference w:id="9"/>
      </w:r>
      <w:r w:rsidR="001F7F2D" w:rsidRPr="00E97FD1">
        <w:rPr>
          <w:rFonts w:ascii="Palatino Linotype" w:hAnsi="Palatino Linotype"/>
        </w:rPr>
        <w:t xml:space="preserve">  As such, low income earners with savings or deposit accounts are charged multiple transaction fees and monthly account keeping fees for these withdrawals by their financial institution.  </w:t>
      </w:r>
      <w:r>
        <w:rPr>
          <w:rFonts w:ascii="Palatino Linotype" w:hAnsi="Palatino Linotype"/>
        </w:rPr>
        <w:t>Conversely</w:t>
      </w:r>
      <w:r w:rsidR="001F7F2D" w:rsidRPr="00E97FD1">
        <w:rPr>
          <w:rFonts w:ascii="Palatino Linotype" w:hAnsi="Palatino Linotype"/>
        </w:rPr>
        <w:t xml:space="preserve">, credit card accounts attract a fixed annual fee, which at face value avoids the </w:t>
      </w:r>
      <w:r w:rsidR="001F7F2D" w:rsidRPr="00E97FD1">
        <w:rPr>
          <w:rFonts w:ascii="Palatino Linotype" w:hAnsi="Palatino Linotype"/>
        </w:rPr>
        <w:lastRenderedPageBreak/>
        <w:t>erosion of limited income through excess account keeping fees for small transactions. Credit cards also come with the added incentive of interest only being charged on any unpaid borrowings if the full amount is not paid by the due date.</w:t>
      </w:r>
      <w:r w:rsidR="001F7F2D" w:rsidRPr="00E97FD1">
        <w:rPr>
          <w:rStyle w:val="FootnoteReference"/>
          <w:rFonts w:ascii="Palatino Linotype" w:hAnsi="Palatino Linotype"/>
        </w:rPr>
        <w:footnoteReference w:id="10"/>
      </w:r>
      <w:r w:rsidR="001F7F2D" w:rsidRPr="00E97FD1">
        <w:rPr>
          <w:rFonts w:ascii="Palatino Linotype" w:hAnsi="Palatino Linotype"/>
        </w:rPr>
        <w:t xml:space="preserve">  This, coupled with the various reward schemes offering bonus points for additional card holders or large purchases, makes credit card use for those on low incomes seemingly attractive.</w:t>
      </w:r>
    </w:p>
    <w:p w14:paraId="72C36C9D" w14:textId="5B135DFE" w:rsidR="001F7F2D" w:rsidRDefault="001F7F2D" w:rsidP="001F7F2D">
      <w:pPr>
        <w:rPr>
          <w:rFonts w:ascii="Palatino Linotype" w:hAnsi="Palatino Linotype"/>
        </w:rPr>
      </w:pPr>
      <w:r w:rsidRPr="00E97FD1">
        <w:rPr>
          <w:rFonts w:ascii="Palatino Linotype" w:hAnsi="Palatino Linotype"/>
        </w:rPr>
        <w:t>However, the evidence suggests that in fact credit card debt is far from a cost-saving measure for most low income households.  Low income earners tend to be less likely to pay off credit cards in full by the monthly due date, due to their limited incomes, and are then left paying high interest charges on debts with many obtaining additional credit cards just to make ends meet or accepting institutional offers to increase credit limits as they near their maximum credit limit.</w:t>
      </w:r>
      <w:r w:rsidRPr="00E97FD1">
        <w:rPr>
          <w:rStyle w:val="FootnoteReference"/>
          <w:rFonts w:ascii="Palatino Linotype" w:hAnsi="Palatino Linotype"/>
        </w:rPr>
        <w:footnoteReference w:id="11"/>
      </w:r>
      <w:r w:rsidRPr="00E97FD1">
        <w:rPr>
          <w:rFonts w:ascii="Palatino Linotype" w:hAnsi="Palatino Linotype"/>
        </w:rPr>
        <w:t xml:space="preserve">  These high interest rates, fees and penalties take a disproportionate slice of the limited budgets of low income earners.  Often these financially vulnerable members of the community </w:t>
      </w:r>
      <w:r>
        <w:rPr>
          <w:rFonts w:ascii="Palatino Linotype" w:hAnsi="Palatino Linotype"/>
        </w:rPr>
        <w:t>do</w:t>
      </w:r>
      <w:r w:rsidRPr="00E97FD1">
        <w:rPr>
          <w:rFonts w:ascii="Palatino Linotype" w:hAnsi="Palatino Linotype"/>
        </w:rPr>
        <w:t xml:space="preserve"> not to have the flexibility to change, pay-off or relinquish credit cards that were obtained during periods of employment, or through marital status, before </w:t>
      </w:r>
      <w:r>
        <w:rPr>
          <w:rFonts w:ascii="Palatino Linotype" w:hAnsi="Palatino Linotype"/>
        </w:rPr>
        <w:t>negative</w:t>
      </w:r>
      <w:r w:rsidRPr="00E97FD1">
        <w:rPr>
          <w:rFonts w:ascii="Palatino Linotype" w:hAnsi="Palatino Linotype"/>
        </w:rPr>
        <w:t xml:space="preserve"> changes in financial circumstances</w:t>
      </w:r>
      <w:r>
        <w:rPr>
          <w:rFonts w:ascii="Palatino Linotype" w:hAnsi="Palatino Linotype"/>
        </w:rPr>
        <w:t xml:space="preserve"> occurred</w:t>
      </w:r>
      <w:r w:rsidRPr="00E97FD1">
        <w:rPr>
          <w:rFonts w:ascii="Palatino Linotype" w:hAnsi="Palatino Linotype"/>
        </w:rPr>
        <w:t xml:space="preserve">.  </w:t>
      </w:r>
    </w:p>
    <w:p w14:paraId="14A12E5E" w14:textId="7E2CFDEB" w:rsidR="00E97FD1" w:rsidRPr="00E97FD1" w:rsidRDefault="00E97FD1" w:rsidP="00E97FD1">
      <w:pPr>
        <w:pStyle w:val="Heading1"/>
      </w:pPr>
      <w:r>
        <w:t>Consumption debt</w:t>
      </w:r>
    </w:p>
    <w:p w14:paraId="5BAC5831" w14:textId="3C31D430" w:rsidR="00953841" w:rsidRDefault="00953841" w:rsidP="00A34BB4">
      <w:pPr>
        <w:rPr>
          <w:rFonts w:ascii="Palatino Linotype" w:hAnsi="Palatino Linotype"/>
        </w:rPr>
      </w:pPr>
      <w:r>
        <w:rPr>
          <w:rFonts w:ascii="Palatino Linotype" w:hAnsi="Palatino Linotype"/>
        </w:rPr>
        <w:t xml:space="preserve">While credit card users on low incomes will use more of their income servicing that debt, it is also worth noting that this type of debt is significantly different to the debt incurred by high income earners.  </w:t>
      </w:r>
    </w:p>
    <w:p w14:paraId="2099540E" w14:textId="793FD61B" w:rsidR="000566EE" w:rsidRDefault="00953841" w:rsidP="00A34BB4">
      <w:pPr>
        <w:rPr>
          <w:rFonts w:ascii="Palatino Linotype" w:hAnsi="Palatino Linotype"/>
        </w:rPr>
      </w:pPr>
      <w:r>
        <w:rPr>
          <w:rFonts w:ascii="Palatino Linotype" w:hAnsi="Palatino Linotype"/>
        </w:rPr>
        <w:t>Specifically, t</w:t>
      </w:r>
      <w:r w:rsidR="009A61AB" w:rsidRPr="00E97FD1">
        <w:rPr>
          <w:rFonts w:ascii="Palatino Linotype" w:hAnsi="Palatino Linotype"/>
        </w:rPr>
        <w:t xml:space="preserve">here is a marked difference between </w:t>
      </w:r>
      <w:r w:rsidR="00934ED1" w:rsidRPr="00E97FD1">
        <w:rPr>
          <w:rFonts w:ascii="Palatino Linotype" w:hAnsi="Palatino Linotype"/>
        </w:rPr>
        <w:t xml:space="preserve">the consumption </w:t>
      </w:r>
      <w:r w:rsidR="003B12AA" w:rsidRPr="00E97FD1">
        <w:rPr>
          <w:rFonts w:ascii="Palatino Linotype" w:hAnsi="Palatino Linotype"/>
        </w:rPr>
        <w:t xml:space="preserve">debt incurred through credit card spending </w:t>
      </w:r>
      <w:r w:rsidR="000566EE" w:rsidRPr="00E97FD1">
        <w:rPr>
          <w:rFonts w:ascii="Palatino Linotype" w:hAnsi="Palatino Linotype"/>
        </w:rPr>
        <w:t xml:space="preserve">(predominantly borne by those on lower incomes unable to pay off the debt) </w:t>
      </w:r>
      <w:r w:rsidR="003B12AA" w:rsidRPr="00E97FD1">
        <w:rPr>
          <w:rFonts w:ascii="Palatino Linotype" w:hAnsi="Palatino Linotype"/>
        </w:rPr>
        <w:t xml:space="preserve">and </w:t>
      </w:r>
      <w:r w:rsidR="00A34BB4" w:rsidRPr="00E97FD1">
        <w:rPr>
          <w:rFonts w:ascii="Palatino Linotype" w:hAnsi="Palatino Linotype"/>
        </w:rPr>
        <w:t>investment debt</w:t>
      </w:r>
      <w:r w:rsidR="0086254C" w:rsidRPr="00E97FD1">
        <w:rPr>
          <w:rFonts w:ascii="Palatino Linotype" w:hAnsi="Palatino Linotype"/>
        </w:rPr>
        <w:t xml:space="preserve"> </w:t>
      </w:r>
      <w:r w:rsidR="000566EE" w:rsidRPr="00E97FD1">
        <w:rPr>
          <w:rFonts w:ascii="Palatino Linotype" w:hAnsi="Palatino Linotype"/>
        </w:rPr>
        <w:t xml:space="preserve">(predominantly borne by those on higher incomes who borrow to invest), with the latter </w:t>
      </w:r>
      <w:r w:rsidR="0086254C" w:rsidRPr="00E97FD1">
        <w:rPr>
          <w:rFonts w:ascii="Palatino Linotype" w:hAnsi="Palatino Linotype"/>
        </w:rPr>
        <w:t>attract</w:t>
      </w:r>
      <w:r w:rsidR="000566EE" w:rsidRPr="00E97FD1">
        <w:rPr>
          <w:rFonts w:ascii="Palatino Linotype" w:hAnsi="Palatino Linotype"/>
        </w:rPr>
        <w:t xml:space="preserve">ing </w:t>
      </w:r>
      <w:r w:rsidR="000867CC" w:rsidRPr="00E97FD1">
        <w:rPr>
          <w:rFonts w:ascii="Palatino Linotype" w:hAnsi="Palatino Linotype"/>
        </w:rPr>
        <w:t>low</w:t>
      </w:r>
      <w:r w:rsidR="0086254C" w:rsidRPr="00E97FD1">
        <w:rPr>
          <w:rFonts w:ascii="Palatino Linotype" w:hAnsi="Palatino Linotype"/>
        </w:rPr>
        <w:t>er</w:t>
      </w:r>
      <w:r w:rsidR="000867CC" w:rsidRPr="00E97FD1">
        <w:rPr>
          <w:rFonts w:ascii="Palatino Linotype" w:hAnsi="Palatino Linotype"/>
        </w:rPr>
        <w:t xml:space="preserve"> interest rates</w:t>
      </w:r>
      <w:r w:rsidR="00121711" w:rsidRPr="00E97FD1">
        <w:rPr>
          <w:rFonts w:ascii="Palatino Linotype" w:hAnsi="Palatino Linotype"/>
        </w:rPr>
        <w:t xml:space="preserve"> as</w:t>
      </w:r>
      <w:r w:rsidR="000838E1" w:rsidRPr="00E97FD1">
        <w:rPr>
          <w:rFonts w:ascii="Palatino Linotype" w:hAnsi="Palatino Linotype"/>
        </w:rPr>
        <w:t xml:space="preserve"> set by the RBA</w:t>
      </w:r>
      <w:r w:rsidR="009E66F2" w:rsidRPr="00E97FD1">
        <w:rPr>
          <w:rFonts w:ascii="Palatino Linotype" w:hAnsi="Palatino Linotype"/>
        </w:rPr>
        <w:t xml:space="preserve"> cash rate</w:t>
      </w:r>
      <w:r w:rsidR="003B12AA" w:rsidRPr="00E97FD1">
        <w:rPr>
          <w:rFonts w:ascii="Palatino Linotype" w:hAnsi="Palatino Linotype"/>
        </w:rPr>
        <w:t>.</w:t>
      </w:r>
      <w:r w:rsidR="00C55F20">
        <w:rPr>
          <w:rStyle w:val="FootnoteReference"/>
          <w:rFonts w:ascii="Palatino Linotype" w:hAnsi="Palatino Linotype"/>
        </w:rPr>
        <w:footnoteReference w:id="12"/>
      </w:r>
      <w:r w:rsidR="004A03F1">
        <w:rPr>
          <w:rFonts w:ascii="Palatino Linotype" w:hAnsi="Palatino Linotype"/>
        </w:rPr>
        <w:t xml:space="preserve"> </w:t>
      </w:r>
      <w:r w:rsidR="000566EE" w:rsidRPr="00E97FD1">
        <w:rPr>
          <w:rFonts w:ascii="Palatino Linotype" w:hAnsi="Palatino Linotype"/>
        </w:rPr>
        <w:t xml:space="preserve"> While </w:t>
      </w:r>
      <w:r w:rsidR="00121711" w:rsidRPr="00E97FD1">
        <w:rPr>
          <w:rFonts w:ascii="Palatino Linotype" w:hAnsi="Palatino Linotype"/>
        </w:rPr>
        <w:t>i</w:t>
      </w:r>
      <w:r w:rsidR="000838E1" w:rsidRPr="00E97FD1">
        <w:rPr>
          <w:rFonts w:ascii="Palatino Linotype" w:hAnsi="Palatino Linotype"/>
        </w:rPr>
        <w:t>nvestment debt</w:t>
      </w:r>
      <w:r w:rsidR="00A34BB4" w:rsidRPr="00E97FD1">
        <w:rPr>
          <w:rFonts w:ascii="Palatino Linotype" w:hAnsi="Palatino Linotype"/>
        </w:rPr>
        <w:t xml:space="preserve"> offers the potential </w:t>
      </w:r>
      <w:r w:rsidR="000838E1" w:rsidRPr="00E97FD1">
        <w:rPr>
          <w:rFonts w:ascii="Palatino Linotype" w:hAnsi="Palatino Linotype"/>
        </w:rPr>
        <w:t xml:space="preserve">of future long term </w:t>
      </w:r>
      <w:r w:rsidR="00121711" w:rsidRPr="00E97FD1">
        <w:rPr>
          <w:rFonts w:ascii="Palatino Linotype" w:hAnsi="Palatino Linotype"/>
        </w:rPr>
        <w:t>economic</w:t>
      </w:r>
      <w:r w:rsidR="00031F6F" w:rsidRPr="00E97FD1">
        <w:rPr>
          <w:rFonts w:ascii="Palatino Linotype" w:hAnsi="Palatino Linotype"/>
        </w:rPr>
        <w:t xml:space="preserve"> gains</w:t>
      </w:r>
      <w:r w:rsidR="00766074" w:rsidRPr="00E97FD1">
        <w:rPr>
          <w:rFonts w:ascii="Palatino Linotype" w:hAnsi="Palatino Linotype"/>
        </w:rPr>
        <w:t xml:space="preserve"> (for example, buying a house that will appreciate in value over time typically </w:t>
      </w:r>
      <w:r w:rsidR="000566EE" w:rsidRPr="00E97FD1">
        <w:rPr>
          <w:rFonts w:ascii="Palatino Linotype" w:hAnsi="Palatino Linotype"/>
        </w:rPr>
        <w:t>leaving</w:t>
      </w:r>
      <w:r w:rsidR="00766074" w:rsidRPr="00E97FD1">
        <w:rPr>
          <w:rFonts w:ascii="Palatino Linotype" w:hAnsi="Palatino Linotype"/>
        </w:rPr>
        <w:t xml:space="preserve"> the borrower significantly better off)</w:t>
      </w:r>
      <w:r w:rsidR="000566EE" w:rsidRPr="00E97FD1">
        <w:rPr>
          <w:rFonts w:ascii="Palatino Linotype" w:hAnsi="Palatino Linotype"/>
        </w:rPr>
        <w:t>,</w:t>
      </w:r>
      <w:r w:rsidR="00031F6F" w:rsidRPr="00E97FD1">
        <w:rPr>
          <w:rFonts w:ascii="Palatino Linotype" w:hAnsi="Palatino Linotype"/>
        </w:rPr>
        <w:t xml:space="preserve"> </w:t>
      </w:r>
      <w:r w:rsidR="000566EE" w:rsidRPr="00E97FD1">
        <w:rPr>
          <w:rFonts w:ascii="Palatino Linotype" w:hAnsi="Palatino Linotype"/>
        </w:rPr>
        <w:t>c</w:t>
      </w:r>
      <w:r w:rsidR="00FA7A8E" w:rsidRPr="00E97FD1">
        <w:rPr>
          <w:rFonts w:ascii="Palatino Linotype" w:hAnsi="Palatino Linotype"/>
        </w:rPr>
        <w:t>redit card deb</w:t>
      </w:r>
      <w:r w:rsidR="00031F6F" w:rsidRPr="00E97FD1">
        <w:rPr>
          <w:rFonts w:ascii="Palatino Linotype" w:hAnsi="Palatino Linotype"/>
        </w:rPr>
        <w:t>t</w:t>
      </w:r>
      <w:r w:rsidR="000566EE" w:rsidRPr="00E97FD1">
        <w:rPr>
          <w:rFonts w:ascii="Palatino Linotype" w:hAnsi="Palatino Linotype"/>
        </w:rPr>
        <w:t xml:space="preserve"> </w:t>
      </w:r>
      <w:r w:rsidR="000867CC" w:rsidRPr="00E97FD1">
        <w:rPr>
          <w:rFonts w:ascii="Palatino Linotype" w:hAnsi="Palatino Linotype"/>
        </w:rPr>
        <w:t xml:space="preserve">offers little </w:t>
      </w:r>
      <w:r w:rsidR="00DF3D8B" w:rsidRPr="00E97FD1">
        <w:rPr>
          <w:rFonts w:ascii="Palatino Linotype" w:hAnsi="Palatino Linotype"/>
        </w:rPr>
        <w:t xml:space="preserve">in the form of increased </w:t>
      </w:r>
      <w:r w:rsidR="000867CC" w:rsidRPr="00E97FD1">
        <w:rPr>
          <w:rFonts w:ascii="Palatino Linotype" w:hAnsi="Palatino Linotype"/>
        </w:rPr>
        <w:t>economic opportunity</w:t>
      </w:r>
      <w:r w:rsidR="00766074" w:rsidRPr="00E97FD1">
        <w:rPr>
          <w:rFonts w:ascii="Palatino Linotype" w:hAnsi="Palatino Linotype"/>
        </w:rPr>
        <w:t>,</w:t>
      </w:r>
      <w:r w:rsidR="00121711" w:rsidRPr="00E97FD1">
        <w:rPr>
          <w:rFonts w:ascii="Palatino Linotype" w:hAnsi="Palatino Linotype"/>
        </w:rPr>
        <w:t xml:space="preserve"> as it</w:t>
      </w:r>
      <w:r w:rsidR="00E751F5" w:rsidRPr="00E97FD1">
        <w:rPr>
          <w:rFonts w:ascii="Palatino Linotype" w:hAnsi="Palatino Linotype"/>
        </w:rPr>
        <w:t xml:space="preserve"> </w:t>
      </w:r>
      <w:r w:rsidR="00934ED1" w:rsidRPr="00E97FD1">
        <w:rPr>
          <w:rFonts w:ascii="Palatino Linotype" w:hAnsi="Palatino Linotype"/>
        </w:rPr>
        <w:t>is</w:t>
      </w:r>
      <w:r w:rsidR="009A61AB" w:rsidRPr="00E97FD1">
        <w:rPr>
          <w:rFonts w:ascii="Palatino Linotype" w:hAnsi="Palatino Linotype"/>
        </w:rPr>
        <w:t xml:space="preserve"> a consumption debt used to purchase goods and services that are used immediately or depreciate in value </w:t>
      </w:r>
      <w:r w:rsidR="000566EE" w:rsidRPr="00E97FD1">
        <w:rPr>
          <w:rFonts w:ascii="Palatino Linotype" w:hAnsi="Palatino Linotype"/>
        </w:rPr>
        <w:t xml:space="preserve">immediately </w:t>
      </w:r>
      <w:r w:rsidR="009A61AB" w:rsidRPr="00E97FD1">
        <w:rPr>
          <w:rFonts w:ascii="Palatino Linotype" w:hAnsi="Palatino Linotype"/>
        </w:rPr>
        <w:t>after purchase.</w:t>
      </w:r>
      <w:r w:rsidR="00C55F20">
        <w:rPr>
          <w:rStyle w:val="FootnoteReference"/>
          <w:rFonts w:ascii="Palatino Linotype" w:hAnsi="Palatino Linotype"/>
        </w:rPr>
        <w:footnoteReference w:id="13"/>
      </w:r>
    </w:p>
    <w:p w14:paraId="2A66AD7A" w14:textId="530CFA4A" w:rsidR="001F7F2D" w:rsidRPr="00E97FD1" w:rsidRDefault="001F7F2D" w:rsidP="001F7F2D">
      <w:pPr>
        <w:rPr>
          <w:rFonts w:ascii="Palatino Linotype" w:hAnsi="Palatino Linotype"/>
        </w:rPr>
      </w:pPr>
      <w:r w:rsidRPr="00E97FD1">
        <w:rPr>
          <w:rFonts w:ascii="Palatino Linotype" w:hAnsi="Palatino Linotype"/>
        </w:rPr>
        <w:t xml:space="preserve">As such, it is clear that the costs associated with credit card lending put pressure on everyday living, particularly for vulnerable members of the community.  </w:t>
      </w:r>
    </w:p>
    <w:p w14:paraId="1F16278B" w14:textId="2FF7CD0C" w:rsidR="00E97FD1" w:rsidRPr="00E97FD1" w:rsidRDefault="00E97FD1" w:rsidP="00E97FD1">
      <w:pPr>
        <w:pStyle w:val="Heading1"/>
        <w:rPr>
          <w:sz w:val="22"/>
          <w:szCs w:val="22"/>
        </w:rPr>
      </w:pPr>
      <w:r>
        <w:lastRenderedPageBreak/>
        <w:t>Fees</w:t>
      </w:r>
    </w:p>
    <w:p w14:paraId="713764A2" w14:textId="19E589E9" w:rsidR="000566EE" w:rsidRDefault="000566EE" w:rsidP="00A34BB4">
      <w:pPr>
        <w:rPr>
          <w:rFonts w:ascii="Palatino Linotype" w:hAnsi="Palatino Linotype"/>
        </w:rPr>
      </w:pPr>
      <w:r w:rsidRPr="00E97FD1">
        <w:rPr>
          <w:rFonts w:ascii="Palatino Linotype" w:hAnsi="Palatino Linotype"/>
        </w:rPr>
        <w:t>In addition to Australians on low incomes being disadvantaged by credit card interest rates in this way, the c</w:t>
      </w:r>
      <w:r w:rsidR="00622F51" w:rsidRPr="00E97FD1">
        <w:rPr>
          <w:rFonts w:ascii="Palatino Linotype" w:hAnsi="Palatino Linotype"/>
        </w:rPr>
        <w:t xml:space="preserve">onsumption debt </w:t>
      </w:r>
      <w:r w:rsidRPr="00E97FD1">
        <w:rPr>
          <w:rFonts w:ascii="Palatino Linotype" w:hAnsi="Palatino Linotype"/>
        </w:rPr>
        <w:t xml:space="preserve">they bear </w:t>
      </w:r>
      <w:r w:rsidR="00121711" w:rsidRPr="00E97FD1">
        <w:rPr>
          <w:rFonts w:ascii="Palatino Linotype" w:hAnsi="Palatino Linotype"/>
        </w:rPr>
        <w:t xml:space="preserve">isn’t just limited </w:t>
      </w:r>
      <w:r w:rsidR="00FA7A8E" w:rsidRPr="00E97FD1">
        <w:rPr>
          <w:rFonts w:ascii="Palatino Linotype" w:hAnsi="Palatino Linotype"/>
        </w:rPr>
        <w:t>to the direct use of credit</w:t>
      </w:r>
      <w:r w:rsidR="00CD7DC0" w:rsidRPr="00E97FD1">
        <w:rPr>
          <w:rFonts w:ascii="Palatino Linotype" w:hAnsi="Palatino Linotype"/>
        </w:rPr>
        <w:t xml:space="preserve"> for purchases</w:t>
      </w:r>
      <w:r w:rsidR="00FA7A8E" w:rsidRPr="00E97FD1">
        <w:rPr>
          <w:rFonts w:ascii="Palatino Linotype" w:hAnsi="Palatino Linotype"/>
        </w:rPr>
        <w:t>. I</w:t>
      </w:r>
      <w:r w:rsidR="00121711" w:rsidRPr="00E97FD1">
        <w:rPr>
          <w:rFonts w:ascii="Palatino Linotype" w:hAnsi="Palatino Linotype"/>
        </w:rPr>
        <w:t xml:space="preserve">t </w:t>
      </w:r>
      <w:r w:rsidR="00622F51" w:rsidRPr="00E97FD1">
        <w:rPr>
          <w:rFonts w:ascii="Palatino Linotype" w:hAnsi="Palatino Linotype"/>
        </w:rPr>
        <w:t>includes merchant interchange fees charged by financial providers for the use and convenience of credit card</w:t>
      </w:r>
      <w:r w:rsidR="00050DE5" w:rsidRPr="00E97FD1">
        <w:rPr>
          <w:rFonts w:ascii="Palatino Linotype" w:hAnsi="Palatino Linotype"/>
        </w:rPr>
        <w:t xml:space="preserve"> facilities </w:t>
      </w:r>
      <w:r w:rsidR="0056092F" w:rsidRPr="00E97FD1">
        <w:rPr>
          <w:rFonts w:ascii="Palatino Linotype" w:hAnsi="Palatino Linotype"/>
        </w:rPr>
        <w:t xml:space="preserve">in </w:t>
      </w:r>
      <w:r w:rsidR="00121711" w:rsidRPr="00E97FD1">
        <w:rPr>
          <w:rFonts w:ascii="Palatino Linotype" w:hAnsi="Palatino Linotype"/>
        </w:rPr>
        <w:t>business</w:t>
      </w:r>
      <w:r w:rsidR="0056092F" w:rsidRPr="00E97FD1">
        <w:rPr>
          <w:rFonts w:ascii="Palatino Linotype" w:hAnsi="Palatino Linotype"/>
        </w:rPr>
        <w:t>es</w:t>
      </w:r>
      <w:r w:rsidR="00121711" w:rsidRPr="00E97FD1">
        <w:rPr>
          <w:rFonts w:ascii="Palatino Linotype" w:hAnsi="Palatino Linotype"/>
        </w:rPr>
        <w:t xml:space="preserve">, the costs of </w:t>
      </w:r>
      <w:r w:rsidR="00622F51" w:rsidRPr="00E97FD1">
        <w:rPr>
          <w:rFonts w:ascii="Palatino Linotype" w:hAnsi="Palatino Linotype"/>
        </w:rPr>
        <w:t xml:space="preserve">which are then passed on to </w:t>
      </w:r>
      <w:r w:rsidR="000F6711" w:rsidRPr="00E97FD1">
        <w:rPr>
          <w:rFonts w:ascii="Palatino Linotype" w:hAnsi="Palatino Linotype"/>
        </w:rPr>
        <w:t>consumers</w:t>
      </w:r>
      <w:r w:rsidR="00A44593" w:rsidRPr="00E97FD1">
        <w:rPr>
          <w:rFonts w:ascii="Palatino Linotype" w:hAnsi="Palatino Linotype"/>
        </w:rPr>
        <w:t xml:space="preserve"> by way of increases in the </w:t>
      </w:r>
      <w:r w:rsidR="0056092F" w:rsidRPr="00E97FD1">
        <w:rPr>
          <w:rFonts w:ascii="Palatino Linotype" w:hAnsi="Palatino Linotype"/>
        </w:rPr>
        <w:t xml:space="preserve">purchasing </w:t>
      </w:r>
      <w:r w:rsidR="00A44593" w:rsidRPr="00E97FD1">
        <w:rPr>
          <w:rFonts w:ascii="Palatino Linotype" w:hAnsi="Palatino Linotype"/>
        </w:rPr>
        <w:t>price of goods and services.</w:t>
      </w:r>
      <w:r w:rsidRPr="00E97FD1">
        <w:rPr>
          <w:rFonts w:ascii="Palatino Linotype" w:hAnsi="Palatino Linotype"/>
        </w:rPr>
        <w:t xml:space="preserve">  Research </w:t>
      </w:r>
      <w:r w:rsidR="00953841">
        <w:rPr>
          <w:rFonts w:ascii="Palatino Linotype" w:hAnsi="Palatino Linotype"/>
        </w:rPr>
        <w:t xml:space="preserve">by the Society </w:t>
      </w:r>
      <w:r w:rsidRPr="00E97FD1">
        <w:rPr>
          <w:rFonts w:ascii="Palatino Linotype" w:hAnsi="Palatino Linotype"/>
        </w:rPr>
        <w:t>has shown that increases in the costs of basic goods and services (groceries, clothing, travel, utilities) are borne disproportionately by the poorest Australians.</w:t>
      </w:r>
      <w:r w:rsidR="00C55F20">
        <w:rPr>
          <w:rStyle w:val="FootnoteReference"/>
          <w:rFonts w:ascii="Palatino Linotype" w:hAnsi="Palatino Linotype"/>
        </w:rPr>
        <w:footnoteReference w:id="14"/>
      </w:r>
    </w:p>
    <w:p w14:paraId="2E67A10B" w14:textId="1F22A666" w:rsidR="00E97FD1" w:rsidRPr="00E97FD1" w:rsidRDefault="0027105C" w:rsidP="00E97FD1">
      <w:pPr>
        <w:pStyle w:val="Heading1"/>
        <w:rPr>
          <w:sz w:val="22"/>
          <w:szCs w:val="22"/>
        </w:rPr>
      </w:pPr>
      <w:r>
        <w:t>The paradox of choice</w:t>
      </w:r>
    </w:p>
    <w:p w14:paraId="5407B213" w14:textId="77777777" w:rsidR="0027105C" w:rsidRDefault="0027105C" w:rsidP="00846A21">
      <w:pPr>
        <w:rPr>
          <w:rFonts w:ascii="Palatino Linotype" w:hAnsi="Palatino Linotype"/>
        </w:rPr>
      </w:pPr>
      <w:r>
        <w:rPr>
          <w:rFonts w:ascii="Palatino Linotype" w:hAnsi="Palatino Linotype"/>
        </w:rPr>
        <w:t xml:space="preserve">We have already outlined above how those on low incomes rely on credit cards to participate in society, and to make ends meet.  A higher-level problem that Australians face is a lack of real choice over credit card providers.  </w:t>
      </w:r>
    </w:p>
    <w:p w14:paraId="22805DB7" w14:textId="33EAB7DC" w:rsidR="00E97FD1" w:rsidRDefault="005E0CB1" w:rsidP="00846A21">
      <w:pPr>
        <w:rPr>
          <w:rFonts w:ascii="Palatino Linotype" w:hAnsi="Palatino Linotype"/>
        </w:rPr>
      </w:pPr>
      <w:r w:rsidRPr="00E97FD1">
        <w:rPr>
          <w:rFonts w:ascii="Palatino Linotype" w:hAnsi="Palatino Linotype"/>
        </w:rPr>
        <w:t xml:space="preserve">Embedded within </w:t>
      </w:r>
      <w:r w:rsidR="00953841">
        <w:rPr>
          <w:rFonts w:ascii="Palatino Linotype" w:hAnsi="Palatino Linotype"/>
        </w:rPr>
        <w:t xml:space="preserve">free-market </w:t>
      </w:r>
      <w:r w:rsidR="001E2F89">
        <w:rPr>
          <w:rFonts w:ascii="Palatino Linotype" w:hAnsi="Palatino Linotype"/>
        </w:rPr>
        <w:t>neo</w:t>
      </w:r>
      <w:r w:rsidR="00953841">
        <w:rPr>
          <w:rFonts w:ascii="Palatino Linotype" w:hAnsi="Palatino Linotype"/>
        </w:rPr>
        <w:t xml:space="preserve">liberalism </w:t>
      </w:r>
      <w:r w:rsidR="00622F51" w:rsidRPr="00E97FD1">
        <w:rPr>
          <w:rFonts w:ascii="Palatino Linotype" w:hAnsi="Palatino Linotype"/>
        </w:rPr>
        <w:t>is an assumption that market forces will enable choice and control for consumers</w:t>
      </w:r>
      <w:r w:rsidR="00953841">
        <w:rPr>
          <w:rFonts w:ascii="Palatino Linotype" w:hAnsi="Palatino Linotype"/>
        </w:rPr>
        <w:t>, including consumers</w:t>
      </w:r>
      <w:r w:rsidRPr="00E97FD1">
        <w:rPr>
          <w:rFonts w:ascii="Palatino Linotype" w:hAnsi="Palatino Linotype"/>
        </w:rPr>
        <w:t xml:space="preserve"> of credit</w:t>
      </w:r>
      <w:r w:rsidR="00953841">
        <w:rPr>
          <w:rFonts w:ascii="Palatino Linotype" w:hAnsi="Palatino Linotype"/>
        </w:rPr>
        <w:t>,</w:t>
      </w:r>
      <w:r w:rsidR="00622F51" w:rsidRPr="00E97FD1">
        <w:rPr>
          <w:rFonts w:ascii="Palatino Linotype" w:hAnsi="Palatino Linotype"/>
        </w:rPr>
        <w:t xml:space="preserve"> through increased competition between </w:t>
      </w:r>
      <w:r w:rsidR="00953841">
        <w:rPr>
          <w:rFonts w:ascii="Palatino Linotype" w:hAnsi="Palatino Linotype"/>
        </w:rPr>
        <w:t xml:space="preserve">providers </w:t>
      </w:r>
      <w:r w:rsidR="00622F51" w:rsidRPr="00E97FD1">
        <w:rPr>
          <w:rFonts w:ascii="Palatino Linotype" w:hAnsi="Palatino Linotype"/>
        </w:rPr>
        <w:t xml:space="preserve">and consumer pressure. </w:t>
      </w:r>
      <w:r w:rsidR="00953841">
        <w:rPr>
          <w:rFonts w:ascii="Palatino Linotype" w:hAnsi="Palatino Linotype"/>
        </w:rPr>
        <w:t>However, while this may work in other markets,</w:t>
      </w:r>
      <w:r w:rsidR="00622F51" w:rsidRPr="00E97FD1">
        <w:rPr>
          <w:rFonts w:ascii="Palatino Linotype" w:hAnsi="Palatino Linotype"/>
        </w:rPr>
        <w:t xml:space="preserve"> the high degree of market concentration between Australia’s dominant financial institutions</w:t>
      </w:r>
      <w:r w:rsidR="0077018F">
        <w:rPr>
          <w:rFonts w:ascii="Palatino Linotype" w:hAnsi="Palatino Linotype"/>
        </w:rPr>
        <w:t xml:space="preserve"> has led to a greater increase in </w:t>
      </w:r>
      <w:r w:rsidR="006809B5">
        <w:rPr>
          <w:rFonts w:ascii="Palatino Linotype" w:hAnsi="Palatino Linotype"/>
        </w:rPr>
        <w:t xml:space="preserve">growth and </w:t>
      </w:r>
      <w:r w:rsidR="0077018F">
        <w:rPr>
          <w:rFonts w:ascii="Palatino Linotype" w:hAnsi="Palatino Linotype"/>
        </w:rPr>
        <w:t>profitability</w:t>
      </w:r>
      <w:r w:rsidR="00BB198F">
        <w:rPr>
          <w:rFonts w:ascii="Palatino Linotype" w:hAnsi="Palatino Linotype"/>
        </w:rPr>
        <w:t xml:space="preserve"> for most banks</w:t>
      </w:r>
      <w:r w:rsidR="00A843A2">
        <w:rPr>
          <w:rFonts w:ascii="Palatino Linotype" w:hAnsi="Palatino Linotype"/>
        </w:rPr>
        <w:t xml:space="preserve">.  Specifically, last year, </w:t>
      </w:r>
      <w:r w:rsidR="0077018F">
        <w:rPr>
          <w:rFonts w:ascii="Palatino Linotype" w:hAnsi="Palatino Linotype"/>
        </w:rPr>
        <w:t xml:space="preserve">ANZ </w:t>
      </w:r>
      <w:r w:rsidR="00A843A2">
        <w:rPr>
          <w:rFonts w:ascii="Palatino Linotype" w:hAnsi="Palatino Linotype"/>
        </w:rPr>
        <w:t xml:space="preserve">recorded a profit of </w:t>
      </w:r>
      <w:r w:rsidR="0077018F" w:rsidRPr="0077018F">
        <w:rPr>
          <w:rFonts w:ascii="Palatino Linotype" w:hAnsi="Palatino Linotype"/>
        </w:rPr>
        <w:t>$7</w:t>
      </w:r>
      <w:r w:rsidR="00A843A2">
        <w:rPr>
          <w:rFonts w:ascii="Palatino Linotype" w:hAnsi="Palatino Linotype"/>
        </w:rPr>
        <w:t>.2 billion (</w:t>
      </w:r>
      <w:r w:rsidR="0077018F" w:rsidRPr="0077018F">
        <w:rPr>
          <w:rFonts w:ascii="Palatino Linotype" w:hAnsi="Palatino Linotype"/>
        </w:rPr>
        <w:t>an increase of 15% over the prior year</w:t>
      </w:r>
      <w:r w:rsidR="00A843A2">
        <w:rPr>
          <w:rFonts w:ascii="Palatino Linotype" w:hAnsi="Palatino Linotype"/>
        </w:rPr>
        <w:t>)</w:t>
      </w:r>
      <w:r w:rsidR="006809B5">
        <w:rPr>
          <w:rFonts w:ascii="Palatino Linotype" w:hAnsi="Palatino Linotype"/>
        </w:rPr>
        <w:t>,</w:t>
      </w:r>
      <w:r w:rsidR="00C55F20">
        <w:rPr>
          <w:rStyle w:val="FootnoteReference"/>
          <w:rFonts w:ascii="Palatino Linotype" w:hAnsi="Palatino Linotype"/>
        </w:rPr>
        <w:footnoteReference w:id="15"/>
      </w:r>
      <w:r w:rsidR="0077018F">
        <w:rPr>
          <w:rFonts w:ascii="Palatino Linotype" w:hAnsi="Palatino Linotype"/>
        </w:rPr>
        <w:t xml:space="preserve"> </w:t>
      </w:r>
      <w:r w:rsidR="00A843A2">
        <w:rPr>
          <w:rFonts w:ascii="Palatino Linotype" w:hAnsi="Palatino Linotype"/>
        </w:rPr>
        <w:t xml:space="preserve">the </w:t>
      </w:r>
      <w:r w:rsidR="0077018F">
        <w:rPr>
          <w:rFonts w:ascii="Palatino Linotype" w:hAnsi="Palatino Linotype"/>
        </w:rPr>
        <w:t>Commonwealt</w:t>
      </w:r>
      <w:r w:rsidR="006809B5">
        <w:rPr>
          <w:rFonts w:ascii="Palatino Linotype" w:hAnsi="Palatino Linotype"/>
        </w:rPr>
        <w:t>h Bank</w:t>
      </w:r>
      <w:r w:rsidR="00A843A2">
        <w:rPr>
          <w:rFonts w:ascii="Palatino Linotype" w:hAnsi="Palatino Linotype"/>
        </w:rPr>
        <w:t xml:space="preserve"> of $8.</w:t>
      </w:r>
      <w:r w:rsidR="0077018F" w:rsidRPr="0077018F">
        <w:rPr>
          <w:rFonts w:ascii="Palatino Linotype" w:hAnsi="Palatino Linotype"/>
        </w:rPr>
        <w:t>6</w:t>
      </w:r>
      <w:r w:rsidR="00A843A2">
        <w:rPr>
          <w:rFonts w:ascii="Palatino Linotype" w:hAnsi="Palatino Linotype"/>
        </w:rPr>
        <w:t xml:space="preserve"> billion</w:t>
      </w:r>
      <w:r w:rsidR="0077018F" w:rsidRPr="0077018F">
        <w:rPr>
          <w:rFonts w:ascii="Palatino Linotype" w:hAnsi="Palatino Linotype"/>
        </w:rPr>
        <w:t xml:space="preserve"> </w:t>
      </w:r>
      <w:r w:rsidR="00A843A2">
        <w:rPr>
          <w:rFonts w:ascii="Palatino Linotype" w:hAnsi="Palatino Linotype"/>
        </w:rPr>
        <w:t>(</w:t>
      </w:r>
      <w:r w:rsidR="006809B5">
        <w:rPr>
          <w:rFonts w:ascii="Palatino Linotype" w:hAnsi="Palatino Linotype"/>
        </w:rPr>
        <w:t>a 13% increase</w:t>
      </w:r>
      <w:r w:rsidR="00A843A2">
        <w:rPr>
          <w:rFonts w:ascii="Palatino Linotype" w:hAnsi="Palatino Linotype"/>
        </w:rPr>
        <w:t>)</w:t>
      </w:r>
      <w:r w:rsidR="006809B5">
        <w:rPr>
          <w:rFonts w:ascii="Palatino Linotype" w:hAnsi="Palatino Linotype"/>
        </w:rPr>
        <w:t>,</w:t>
      </w:r>
      <w:r w:rsidR="0077018F">
        <w:rPr>
          <w:rStyle w:val="FootnoteReference"/>
          <w:rFonts w:ascii="Palatino Linotype" w:hAnsi="Palatino Linotype"/>
        </w:rPr>
        <w:footnoteReference w:id="16"/>
      </w:r>
      <w:r w:rsidR="006809B5">
        <w:rPr>
          <w:rFonts w:ascii="Palatino Linotype" w:hAnsi="Palatino Linotype"/>
        </w:rPr>
        <w:t xml:space="preserve"> Westpac </w:t>
      </w:r>
      <w:r w:rsidR="006809B5" w:rsidRPr="006809B5">
        <w:rPr>
          <w:rFonts w:ascii="Palatino Linotype" w:hAnsi="Palatino Linotype"/>
        </w:rPr>
        <w:t>$7</w:t>
      </w:r>
      <w:r w:rsidR="00A843A2">
        <w:rPr>
          <w:rFonts w:ascii="Palatino Linotype" w:hAnsi="Palatino Linotype"/>
        </w:rPr>
        <w:t>.6 billion (</w:t>
      </w:r>
      <w:r w:rsidR="006809B5" w:rsidRPr="006809B5">
        <w:rPr>
          <w:rFonts w:ascii="Palatino Linotype" w:hAnsi="Palatino Linotype"/>
        </w:rPr>
        <w:t>12%</w:t>
      </w:r>
      <w:r w:rsidR="006809B5">
        <w:rPr>
          <w:rFonts w:ascii="Palatino Linotype" w:hAnsi="Palatino Linotype"/>
        </w:rPr>
        <w:t xml:space="preserve"> </w:t>
      </w:r>
      <w:r w:rsidR="00A843A2">
        <w:rPr>
          <w:rFonts w:ascii="Palatino Linotype" w:hAnsi="Palatino Linotype"/>
        </w:rPr>
        <w:t>increase)</w:t>
      </w:r>
      <w:r w:rsidR="006809B5">
        <w:rPr>
          <w:rFonts w:ascii="Palatino Linotype" w:hAnsi="Palatino Linotype"/>
        </w:rPr>
        <w:t>,</w:t>
      </w:r>
      <w:r w:rsidR="00C55F20">
        <w:rPr>
          <w:rStyle w:val="FootnoteReference"/>
          <w:rFonts w:ascii="Palatino Linotype" w:hAnsi="Palatino Linotype"/>
        </w:rPr>
        <w:footnoteReference w:id="17"/>
      </w:r>
      <w:r w:rsidR="006809B5">
        <w:rPr>
          <w:rFonts w:ascii="Palatino Linotype" w:hAnsi="Palatino Linotype"/>
        </w:rPr>
        <w:t xml:space="preserve"> and National Australia Bank</w:t>
      </w:r>
      <w:r w:rsidR="00BB198F">
        <w:rPr>
          <w:rFonts w:ascii="Palatino Linotype" w:hAnsi="Palatino Linotype"/>
        </w:rPr>
        <w:t xml:space="preserve"> </w:t>
      </w:r>
      <w:r w:rsidR="00BB198F" w:rsidRPr="00BB198F">
        <w:rPr>
          <w:rFonts w:ascii="Palatino Linotype" w:hAnsi="Palatino Linotype"/>
        </w:rPr>
        <w:t>$5.3</w:t>
      </w:r>
      <w:r w:rsidR="00A843A2">
        <w:rPr>
          <w:rFonts w:ascii="Palatino Linotype" w:hAnsi="Palatino Linotype"/>
        </w:rPr>
        <w:t xml:space="preserve"> </w:t>
      </w:r>
      <w:r w:rsidR="00BB198F" w:rsidRPr="00BB198F">
        <w:rPr>
          <w:rFonts w:ascii="Palatino Linotype" w:hAnsi="Palatino Linotype"/>
        </w:rPr>
        <w:t>b</w:t>
      </w:r>
      <w:r w:rsidR="00A843A2">
        <w:rPr>
          <w:rFonts w:ascii="Palatino Linotype" w:hAnsi="Palatino Linotype"/>
        </w:rPr>
        <w:t>illion</w:t>
      </w:r>
      <w:r w:rsidR="00BB198F">
        <w:rPr>
          <w:rFonts w:ascii="Palatino Linotype" w:hAnsi="Palatino Linotype"/>
        </w:rPr>
        <w:t xml:space="preserve"> </w:t>
      </w:r>
      <w:r w:rsidR="00A843A2">
        <w:rPr>
          <w:rFonts w:ascii="Palatino Linotype" w:hAnsi="Palatino Linotype"/>
        </w:rPr>
        <w:t>(</w:t>
      </w:r>
      <w:r w:rsidR="00BB198F">
        <w:rPr>
          <w:rFonts w:ascii="Palatino Linotype" w:hAnsi="Palatino Linotype"/>
        </w:rPr>
        <w:t xml:space="preserve">a </w:t>
      </w:r>
      <w:r w:rsidR="00BB198F" w:rsidRPr="00BB198F">
        <w:rPr>
          <w:rFonts w:ascii="Palatino Linotype" w:hAnsi="Palatino Linotype"/>
        </w:rPr>
        <w:t>1.1% decrease</w:t>
      </w:r>
      <w:r w:rsidR="00A843A2">
        <w:rPr>
          <w:rFonts w:ascii="Palatino Linotype" w:hAnsi="Palatino Linotype"/>
        </w:rPr>
        <w:t>)</w:t>
      </w:r>
      <w:r w:rsidR="00BB198F">
        <w:rPr>
          <w:rFonts w:ascii="Palatino Linotype" w:hAnsi="Palatino Linotype"/>
        </w:rPr>
        <w:t>.</w:t>
      </w:r>
      <w:r w:rsidR="00BB198F">
        <w:rPr>
          <w:rStyle w:val="FootnoteReference"/>
          <w:rFonts w:ascii="Palatino Linotype" w:hAnsi="Palatino Linotype"/>
        </w:rPr>
        <w:footnoteReference w:id="18"/>
      </w:r>
      <w:r w:rsidR="006809B5">
        <w:rPr>
          <w:rFonts w:ascii="Palatino Linotype" w:hAnsi="Palatino Linotype"/>
        </w:rPr>
        <w:t xml:space="preserve"> </w:t>
      </w:r>
      <w:r w:rsidR="00BB198F">
        <w:rPr>
          <w:rFonts w:ascii="Palatino Linotype" w:hAnsi="Palatino Linotype"/>
        </w:rPr>
        <w:t xml:space="preserve">This market dominance </w:t>
      </w:r>
      <w:r w:rsidR="00622F51" w:rsidRPr="00E97FD1">
        <w:rPr>
          <w:rFonts w:ascii="Palatino Linotype" w:hAnsi="Palatino Linotype"/>
        </w:rPr>
        <w:t xml:space="preserve">enables </w:t>
      </w:r>
      <w:r w:rsidR="00A843A2">
        <w:rPr>
          <w:rFonts w:ascii="Palatino Linotype" w:hAnsi="Palatino Linotype"/>
        </w:rPr>
        <w:t>banks</w:t>
      </w:r>
      <w:r w:rsidR="00622F51" w:rsidRPr="00E97FD1">
        <w:rPr>
          <w:rFonts w:ascii="Palatino Linotype" w:hAnsi="Palatino Linotype"/>
        </w:rPr>
        <w:t xml:space="preserve"> to charge a range of fees</w:t>
      </w:r>
      <w:r w:rsidR="00766074" w:rsidRPr="00E97FD1">
        <w:rPr>
          <w:rFonts w:ascii="Palatino Linotype" w:hAnsi="Palatino Linotype"/>
        </w:rPr>
        <w:t>,</w:t>
      </w:r>
      <w:r w:rsidR="00622F51" w:rsidRPr="00E97FD1">
        <w:rPr>
          <w:rFonts w:ascii="Palatino Linotype" w:hAnsi="Palatino Linotype"/>
        </w:rPr>
        <w:t xml:space="preserve"> including</w:t>
      </w:r>
      <w:r w:rsidR="00766074" w:rsidRPr="00E97FD1">
        <w:rPr>
          <w:rFonts w:ascii="Palatino Linotype" w:hAnsi="Palatino Linotype"/>
        </w:rPr>
        <w:t>:</w:t>
      </w:r>
      <w:r w:rsidR="00622F51" w:rsidRPr="00E97FD1">
        <w:rPr>
          <w:rFonts w:ascii="Palatino Linotype" w:hAnsi="Palatino Linotype"/>
        </w:rPr>
        <w:t xml:space="preserve"> credit card fees</w:t>
      </w:r>
      <w:r w:rsidR="008C09E8" w:rsidRPr="00E97FD1">
        <w:rPr>
          <w:rFonts w:ascii="Palatino Linotype" w:hAnsi="Palatino Linotype"/>
        </w:rPr>
        <w:t xml:space="preserve"> and interest</w:t>
      </w:r>
      <w:r w:rsidR="00622F51" w:rsidRPr="00E97FD1">
        <w:rPr>
          <w:rFonts w:ascii="Palatino Linotype" w:hAnsi="Palatino Linotype"/>
        </w:rPr>
        <w:t xml:space="preserve">, interchange fees, merchant fees, account-keeping fees, transaction fees and penalties for late payments with little pressure from </w:t>
      </w:r>
      <w:r w:rsidR="00610C33" w:rsidRPr="00E97FD1">
        <w:rPr>
          <w:rFonts w:ascii="Palatino Linotype" w:hAnsi="Palatino Linotype"/>
        </w:rPr>
        <w:t>opponents</w:t>
      </w:r>
      <w:r w:rsidR="00622F51" w:rsidRPr="00E97FD1">
        <w:rPr>
          <w:rFonts w:ascii="Palatino Linotype" w:hAnsi="Palatino Linotype"/>
        </w:rPr>
        <w:t>.</w:t>
      </w:r>
      <w:r w:rsidR="00F74B3C">
        <w:rPr>
          <w:rStyle w:val="FootnoteReference"/>
          <w:rFonts w:ascii="Palatino Linotype" w:hAnsi="Palatino Linotype"/>
        </w:rPr>
        <w:footnoteReference w:id="19"/>
      </w:r>
      <w:r w:rsidR="00622F51" w:rsidRPr="00E97FD1">
        <w:rPr>
          <w:rFonts w:ascii="Palatino Linotype" w:hAnsi="Palatino Linotype"/>
        </w:rPr>
        <w:t xml:space="preserve">  </w:t>
      </w:r>
    </w:p>
    <w:p w14:paraId="11CFE478" w14:textId="29E2AA93" w:rsidR="005E0CB1" w:rsidRDefault="00695D83" w:rsidP="00846A21">
      <w:pPr>
        <w:rPr>
          <w:rFonts w:ascii="Palatino Linotype" w:hAnsi="Palatino Linotype"/>
        </w:rPr>
      </w:pPr>
      <w:r w:rsidRPr="00E97FD1">
        <w:rPr>
          <w:rFonts w:ascii="Palatino Linotype" w:hAnsi="Palatino Linotype"/>
        </w:rPr>
        <w:t>Similarly, free market neoliberalism assumes that those on low incomes have the financial literacy and resources to interpret the implications of their choices upon their long-term financial situation in a</w:t>
      </w:r>
      <w:r w:rsidR="00610C33" w:rsidRPr="00E97FD1">
        <w:rPr>
          <w:rFonts w:ascii="Palatino Linotype" w:hAnsi="Palatino Linotype"/>
        </w:rPr>
        <w:t xml:space="preserve">n economically </w:t>
      </w:r>
      <w:r w:rsidRPr="00E97FD1">
        <w:rPr>
          <w:rFonts w:ascii="Palatino Linotype" w:hAnsi="Palatino Linotype"/>
        </w:rPr>
        <w:t>rational</w:t>
      </w:r>
      <w:r w:rsidR="00610C33" w:rsidRPr="00E97FD1">
        <w:rPr>
          <w:rFonts w:ascii="Palatino Linotype" w:hAnsi="Palatino Linotype"/>
        </w:rPr>
        <w:t>ist</w:t>
      </w:r>
      <w:r w:rsidRPr="00E97FD1">
        <w:rPr>
          <w:rFonts w:ascii="Palatino Linotype" w:hAnsi="Palatino Linotype"/>
        </w:rPr>
        <w:t xml:space="preserve"> manner</w:t>
      </w:r>
      <w:r w:rsidR="00423F8D" w:rsidRPr="00E97FD1">
        <w:rPr>
          <w:rFonts w:ascii="Palatino Linotype" w:hAnsi="Palatino Linotype"/>
        </w:rPr>
        <w:t xml:space="preserve">.  </w:t>
      </w:r>
      <w:r w:rsidR="00B76D6D" w:rsidRPr="00E97FD1">
        <w:rPr>
          <w:rFonts w:ascii="Palatino Linotype" w:hAnsi="Palatino Linotype"/>
        </w:rPr>
        <w:t xml:space="preserve">However, </w:t>
      </w:r>
      <w:r w:rsidRPr="00E97FD1">
        <w:rPr>
          <w:rFonts w:ascii="Palatino Linotype" w:hAnsi="Palatino Linotype"/>
        </w:rPr>
        <w:t>Australians in disadvantage are less</w:t>
      </w:r>
      <w:r w:rsidR="00605746" w:rsidRPr="00E97FD1">
        <w:rPr>
          <w:rFonts w:ascii="Palatino Linotype" w:hAnsi="Palatino Linotype"/>
        </w:rPr>
        <w:t xml:space="preserve"> likely to have</w:t>
      </w:r>
      <w:r w:rsidRPr="00E97FD1">
        <w:rPr>
          <w:rFonts w:ascii="Palatino Linotype" w:hAnsi="Palatino Linotype"/>
        </w:rPr>
        <w:t xml:space="preserve"> </w:t>
      </w:r>
      <w:r w:rsidR="004D1815" w:rsidRPr="00E97FD1">
        <w:rPr>
          <w:rFonts w:ascii="Palatino Linotype" w:hAnsi="Palatino Linotype"/>
        </w:rPr>
        <w:t xml:space="preserve">more </w:t>
      </w:r>
      <w:r w:rsidRPr="00E97FD1">
        <w:rPr>
          <w:rFonts w:ascii="Palatino Linotype" w:hAnsi="Palatino Linotype"/>
        </w:rPr>
        <w:t xml:space="preserve">financial literacy than those on high incomes, and </w:t>
      </w:r>
      <w:r w:rsidRPr="00E97FD1">
        <w:rPr>
          <w:rFonts w:ascii="Palatino Linotype" w:hAnsi="Palatino Linotype"/>
        </w:rPr>
        <w:lastRenderedPageBreak/>
        <w:t xml:space="preserve">are </w:t>
      </w:r>
      <w:r w:rsidR="004D1815" w:rsidRPr="00E97FD1">
        <w:rPr>
          <w:rFonts w:ascii="Palatino Linotype" w:hAnsi="Palatino Linotype"/>
        </w:rPr>
        <w:t xml:space="preserve">certainly </w:t>
      </w:r>
      <w:r w:rsidRPr="00E97FD1">
        <w:rPr>
          <w:rFonts w:ascii="Palatino Linotype" w:hAnsi="Palatino Linotype"/>
        </w:rPr>
        <w:t>in a significant</w:t>
      </w:r>
      <w:r w:rsidR="00423F8D" w:rsidRPr="00E97FD1">
        <w:rPr>
          <w:rFonts w:ascii="Palatino Linotype" w:hAnsi="Palatino Linotype"/>
        </w:rPr>
        <w:t xml:space="preserve"> </w:t>
      </w:r>
      <w:r w:rsidR="004D1815" w:rsidRPr="00E97FD1">
        <w:rPr>
          <w:rFonts w:ascii="Palatino Linotype" w:hAnsi="Palatino Linotype"/>
        </w:rPr>
        <w:t xml:space="preserve">power </w:t>
      </w:r>
      <w:r w:rsidRPr="00E97FD1">
        <w:rPr>
          <w:rFonts w:ascii="Palatino Linotype" w:hAnsi="Palatino Linotype"/>
        </w:rPr>
        <w:t xml:space="preserve">deficit </w:t>
      </w:r>
      <w:r w:rsidR="004D1815" w:rsidRPr="00E97FD1">
        <w:rPr>
          <w:rFonts w:ascii="Palatino Linotype" w:hAnsi="Palatino Linotype"/>
        </w:rPr>
        <w:t>when it comes</w:t>
      </w:r>
      <w:r w:rsidRPr="00E97FD1">
        <w:rPr>
          <w:rFonts w:ascii="Palatino Linotype" w:hAnsi="Palatino Linotype"/>
        </w:rPr>
        <w:t xml:space="preserve"> to the </w:t>
      </w:r>
      <w:r w:rsidR="00B76D6D" w:rsidRPr="00E97FD1">
        <w:rPr>
          <w:rFonts w:ascii="Palatino Linotype" w:hAnsi="Palatino Linotype"/>
        </w:rPr>
        <w:t xml:space="preserve">financial knowledge of </w:t>
      </w:r>
      <w:r w:rsidR="004D1815" w:rsidRPr="00E97FD1">
        <w:rPr>
          <w:rFonts w:ascii="Palatino Linotype" w:hAnsi="Palatino Linotype"/>
        </w:rPr>
        <w:t xml:space="preserve">banking </w:t>
      </w:r>
      <w:r w:rsidRPr="00E97FD1">
        <w:rPr>
          <w:rFonts w:ascii="Palatino Linotype" w:hAnsi="Palatino Linotype"/>
        </w:rPr>
        <w:t>providers offering credit</w:t>
      </w:r>
      <w:r w:rsidR="00B76D6D" w:rsidRPr="00E97FD1">
        <w:rPr>
          <w:rFonts w:ascii="Palatino Linotype" w:hAnsi="Palatino Linotype"/>
        </w:rPr>
        <w:t>.</w:t>
      </w:r>
      <w:r w:rsidR="00F74B3C">
        <w:rPr>
          <w:rStyle w:val="FootnoteReference"/>
          <w:rFonts w:ascii="Palatino Linotype" w:hAnsi="Palatino Linotype"/>
        </w:rPr>
        <w:footnoteReference w:id="20"/>
      </w:r>
      <w:r w:rsidR="004D1815" w:rsidRPr="00E97FD1">
        <w:rPr>
          <w:rFonts w:ascii="Palatino Linotype" w:hAnsi="Palatino Linotype"/>
        </w:rPr>
        <w:t xml:space="preserve">  In addition, s</w:t>
      </w:r>
      <w:r w:rsidR="00ED1FCE" w:rsidRPr="00E97FD1">
        <w:rPr>
          <w:rFonts w:ascii="Palatino Linotype" w:hAnsi="Palatino Linotype"/>
        </w:rPr>
        <w:t xml:space="preserve">tudies </w:t>
      </w:r>
      <w:r w:rsidR="00C763F2" w:rsidRPr="00E97FD1">
        <w:rPr>
          <w:rFonts w:ascii="Palatino Linotype" w:hAnsi="Palatino Linotype"/>
        </w:rPr>
        <w:t xml:space="preserve">show </w:t>
      </w:r>
      <w:r w:rsidR="00423F8D" w:rsidRPr="00E97FD1">
        <w:rPr>
          <w:rFonts w:ascii="Palatino Linotype" w:hAnsi="Palatino Linotype"/>
        </w:rPr>
        <w:t>that t</w:t>
      </w:r>
      <w:r w:rsidRPr="00E97FD1">
        <w:rPr>
          <w:rFonts w:ascii="Palatino Linotype" w:hAnsi="Palatino Linotype"/>
        </w:rPr>
        <w:t>oo many choices</w:t>
      </w:r>
      <w:r w:rsidR="004D1815" w:rsidRPr="00E97FD1">
        <w:rPr>
          <w:rFonts w:ascii="Palatino Linotype" w:hAnsi="Palatino Linotype"/>
        </w:rPr>
        <w:t>, such as weighing up not paying credit cards off in full versus putting food on the table,</w:t>
      </w:r>
      <w:r w:rsidRPr="00E97FD1">
        <w:rPr>
          <w:rFonts w:ascii="Palatino Linotype" w:hAnsi="Palatino Linotype"/>
        </w:rPr>
        <w:t xml:space="preserve"> can inhibit the decision maker’s ability to make rational </w:t>
      </w:r>
      <w:r w:rsidR="00D17D7A" w:rsidRPr="00E97FD1">
        <w:rPr>
          <w:rFonts w:ascii="Palatino Linotype" w:hAnsi="Palatino Linotype"/>
        </w:rPr>
        <w:t xml:space="preserve">decisions, </w:t>
      </w:r>
      <w:r w:rsidRPr="00E97FD1">
        <w:rPr>
          <w:rFonts w:ascii="Palatino Linotype" w:hAnsi="Palatino Linotype"/>
        </w:rPr>
        <w:t xml:space="preserve">and can </w:t>
      </w:r>
      <w:r w:rsidR="00D17D7A" w:rsidRPr="00E97FD1">
        <w:rPr>
          <w:rFonts w:ascii="Palatino Linotype" w:hAnsi="Palatino Linotype"/>
        </w:rPr>
        <w:t xml:space="preserve">also </w:t>
      </w:r>
      <w:r w:rsidRPr="00E97FD1">
        <w:rPr>
          <w:rFonts w:ascii="Palatino Linotype" w:hAnsi="Palatino Linotype"/>
        </w:rPr>
        <w:t xml:space="preserve">detrimentally </w:t>
      </w:r>
      <w:r w:rsidR="00ED1FCE" w:rsidRPr="00E97FD1">
        <w:rPr>
          <w:rFonts w:ascii="Palatino Linotype" w:hAnsi="Palatino Linotype"/>
        </w:rPr>
        <w:t>affect experiences of</w:t>
      </w:r>
      <w:r w:rsidRPr="00E97FD1">
        <w:rPr>
          <w:rFonts w:ascii="Palatino Linotype" w:hAnsi="Palatino Linotype"/>
        </w:rPr>
        <w:t xml:space="preserve"> well-being after the choice is made</w:t>
      </w:r>
      <w:r w:rsidR="00C4286C" w:rsidRPr="00E97FD1">
        <w:rPr>
          <w:rFonts w:ascii="Palatino Linotype" w:hAnsi="Palatino Linotype"/>
        </w:rPr>
        <w:t>.</w:t>
      </w:r>
      <w:r w:rsidRPr="00E97FD1">
        <w:rPr>
          <w:rStyle w:val="FootnoteReference"/>
          <w:rFonts w:ascii="Palatino Linotype" w:hAnsi="Palatino Linotype"/>
        </w:rPr>
        <w:footnoteReference w:id="21"/>
      </w:r>
      <w:r w:rsidRPr="00E97FD1">
        <w:rPr>
          <w:rFonts w:ascii="Palatino Linotype" w:hAnsi="Palatino Linotype"/>
        </w:rPr>
        <w:t xml:space="preserve">  </w:t>
      </w:r>
      <w:r w:rsidR="00D61560">
        <w:rPr>
          <w:rFonts w:ascii="Palatino Linotype" w:hAnsi="Palatino Linotype"/>
        </w:rPr>
        <w:t>When given an increase in choices</w:t>
      </w:r>
      <w:r w:rsidR="008913BC">
        <w:rPr>
          <w:rFonts w:ascii="Palatino Linotype" w:hAnsi="Palatino Linotype"/>
        </w:rPr>
        <w:t xml:space="preserve"> </w:t>
      </w:r>
      <w:r w:rsidR="00D61560">
        <w:rPr>
          <w:rFonts w:ascii="Palatino Linotype" w:hAnsi="Palatino Linotype"/>
        </w:rPr>
        <w:t xml:space="preserve">(or data to be analysed), </w:t>
      </w:r>
      <w:r w:rsidR="00A843A2">
        <w:rPr>
          <w:rFonts w:ascii="Palatino Linotype" w:hAnsi="Palatino Linotype"/>
        </w:rPr>
        <w:t xml:space="preserve">including whether and how bills are to be paid, and what sacrifices to make to pay them, </w:t>
      </w:r>
      <w:r w:rsidR="00D61560">
        <w:rPr>
          <w:rFonts w:ascii="Palatino Linotype" w:hAnsi="Palatino Linotype"/>
        </w:rPr>
        <w:t>the cognitive cost of weighing up each option will increase to a point where rational decision making will be impaired, and the choices made will reflect preferences rather than logical analysis of available options</w:t>
      </w:r>
      <w:r w:rsidR="00F74B3C">
        <w:rPr>
          <w:rFonts w:ascii="Palatino Linotype" w:hAnsi="Palatino Linotype"/>
        </w:rPr>
        <w:t>.</w:t>
      </w:r>
      <w:r w:rsidR="00F74B3C">
        <w:rPr>
          <w:rStyle w:val="FootnoteReference"/>
          <w:rFonts w:ascii="Palatino Linotype" w:hAnsi="Palatino Linotype"/>
        </w:rPr>
        <w:footnoteReference w:id="22"/>
      </w:r>
      <w:r w:rsidR="004D4450">
        <w:rPr>
          <w:rFonts w:ascii="Palatino Linotype" w:hAnsi="Palatino Linotype"/>
        </w:rPr>
        <w:t xml:space="preserve">  </w:t>
      </w:r>
      <w:r w:rsidR="00E97FD1">
        <w:rPr>
          <w:rFonts w:ascii="Palatino Linotype" w:hAnsi="Palatino Linotype"/>
        </w:rPr>
        <w:t>In these ways, b</w:t>
      </w:r>
      <w:r w:rsidRPr="00E97FD1">
        <w:rPr>
          <w:rFonts w:ascii="Palatino Linotype" w:hAnsi="Palatino Linotype"/>
        </w:rPr>
        <w:t>anking</w:t>
      </w:r>
      <w:r w:rsidR="00622F51" w:rsidRPr="00E97FD1">
        <w:rPr>
          <w:rFonts w:ascii="Palatino Linotype" w:hAnsi="Palatino Linotype"/>
        </w:rPr>
        <w:t xml:space="preserve"> fee str</w:t>
      </w:r>
      <w:r w:rsidRPr="00E97FD1">
        <w:rPr>
          <w:rFonts w:ascii="Palatino Linotype" w:hAnsi="Palatino Linotype"/>
        </w:rPr>
        <w:t xml:space="preserve">uctures impact upon the </w:t>
      </w:r>
      <w:r w:rsidR="00622F51" w:rsidRPr="00E97FD1">
        <w:rPr>
          <w:rFonts w:ascii="Palatino Linotype" w:hAnsi="Palatino Linotype"/>
        </w:rPr>
        <w:t>options available for</w:t>
      </w:r>
      <w:r w:rsidR="00846A21" w:rsidRPr="00E97FD1">
        <w:rPr>
          <w:rFonts w:ascii="Palatino Linotype" w:hAnsi="Palatino Linotype"/>
        </w:rPr>
        <w:t xml:space="preserve"> low </w:t>
      </w:r>
      <w:r w:rsidR="00622F51" w:rsidRPr="00E97FD1">
        <w:rPr>
          <w:rFonts w:ascii="Palatino Linotype" w:hAnsi="Palatino Linotype"/>
        </w:rPr>
        <w:t>income earners</w:t>
      </w:r>
      <w:r w:rsidR="003636DD" w:rsidRPr="00E97FD1">
        <w:rPr>
          <w:rFonts w:ascii="Palatino Linotype" w:hAnsi="Palatino Linotype"/>
        </w:rPr>
        <w:t xml:space="preserve"> who</w:t>
      </w:r>
      <w:r w:rsidR="005A5493" w:rsidRPr="00E97FD1">
        <w:rPr>
          <w:rFonts w:ascii="Palatino Linotype" w:hAnsi="Palatino Linotype"/>
        </w:rPr>
        <w:t>se limited budgets</w:t>
      </w:r>
      <w:r w:rsidR="003636DD" w:rsidRPr="00E97FD1">
        <w:rPr>
          <w:rFonts w:ascii="Palatino Linotype" w:hAnsi="Palatino Linotype"/>
        </w:rPr>
        <w:t xml:space="preserve"> are more susceptible to the impact of </w:t>
      </w:r>
      <w:r w:rsidR="00DE3AC4" w:rsidRPr="00E97FD1">
        <w:rPr>
          <w:rFonts w:ascii="Palatino Linotype" w:hAnsi="Palatino Linotype"/>
        </w:rPr>
        <w:t xml:space="preserve">credit card </w:t>
      </w:r>
      <w:r w:rsidR="005A5493" w:rsidRPr="00E97FD1">
        <w:rPr>
          <w:rFonts w:ascii="Palatino Linotype" w:hAnsi="Palatino Linotype"/>
        </w:rPr>
        <w:t>charges</w:t>
      </w:r>
      <w:r w:rsidR="00766074" w:rsidRPr="00E97FD1">
        <w:rPr>
          <w:rFonts w:ascii="Palatino Linotype" w:hAnsi="Palatino Linotype"/>
        </w:rPr>
        <w:t>,</w:t>
      </w:r>
      <w:r w:rsidR="00DE3AC4" w:rsidRPr="00E97FD1">
        <w:rPr>
          <w:rFonts w:ascii="Palatino Linotype" w:hAnsi="Palatino Linotype"/>
        </w:rPr>
        <w:t xml:space="preserve"> and who have fewer options for choice or control over their financial circumstances</w:t>
      </w:r>
      <w:r w:rsidR="005A5493" w:rsidRPr="00E97FD1">
        <w:rPr>
          <w:rFonts w:ascii="Palatino Linotype" w:hAnsi="Palatino Linotype"/>
        </w:rPr>
        <w:t>.</w:t>
      </w:r>
      <w:r w:rsidR="00622F51" w:rsidRPr="00E97FD1">
        <w:rPr>
          <w:rFonts w:ascii="Palatino Linotype" w:hAnsi="Palatino Linotype"/>
        </w:rPr>
        <w:t xml:space="preserve">  </w:t>
      </w:r>
    </w:p>
    <w:p w14:paraId="641A9E58" w14:textId="2C209BBD" w:rsidR="00E97FD1" w:rsidRDefault="00A843A2" w:rsidP="00E97FD1">
      <w:pPr>
        <w:pStyle w:val="Heading1"/>
      </w:pPr>
      <w:r>
        <w:t>Conclusion</w:t>
      </w:r>
    </w:p>
    <w:p w14:paraId="33E67B9A" w14:textId="6419AB7B" w:rsidR="00A843A2" w:rsidRDefault="00A843A2" w:rsidP="00A843A2">
      <w:pPr>
        <w:rPr>
          <w:rFonts w:ascii="Palatino Linotype" w:hAnsi="Palatino Linotype"/>
        </w:rPr>
      </w:pPr>
      <w:r w:rsidRPr="00A843A2">
        <w:rPr>
          <w:rFonts w:ascii="Palatino Linotype" w:hAnsi="Palatino Linotype"/>
        </w:rPr>
        <w:t xml:space="preserve">For the range of reasons outlined above, credit card interest rates and fees have a disproportionate impact on those Australians living with the most disadvantage. </w:t>
      </w:r>
      <w:r>
        <w:rPr>
          <w:rFonts w:ascii="Palatino Linotype" w:hAnsi="Palatino Linotype"/>
        </w:rPr>
        <w:t xml:space="preserve"> They reflect just one of a range of structural barriers that continue to work in Australia to stop those who are struggling from getting ahead.</w:t>
      </w:r>
    </w:p>
    <w:p w14:paraId="2E71D8A8" w14:textId="41DBBA3B" w:rsidR="00376DA5" w:rsidRDefault="00A843A2">
      <w:pPr>
        <w:rPr>
          <w:rFonts w:ascii="Palatino Linotype" w:hAnsi="Palatino Linotype"/>
        </w:rPr>
      </w:pPr>
      <w:r>
        <w:rPr>
          <w:rFonts w:ascii="Palatino Linotype" w:hAnsi="Palatino Linotype"/>
        </w:rPr>
        <w:t>For these reasons, t</w:t>
      </w:r>
      <w:r w:rsidR="00AE70A8" w:rsidRPr="00E97FD1">
        <w:rPr>
          <w:rFonts w:ascii="Palatino Linotype" w:hAnsi="Palatino Linotype"/>
        </w:rPr>
        <w:t>he Society recommends legislating that credit card interes</w:t>
      </w:r>
      <w:r w:rsidR="00E8159B" w:rsidRPr="00E97FD1">
        <w:rPr>
          <w:rFonts w:ascii="Palatino Linotype" w:hAnsi="Palatino Linotype"/>
        </w:rPr>
        <w:t>t rates align with</w:t>
      </w:r>
      <w:r w:rsidR="00AE70A8" w:rsidRPr="00E97FD1">
        <w:rPr>
          <w:rFonts w:ascii="Palatino Linotype" w:hAnsi="Palatino Linotype"/>
        </w:rPr>
        <w:t xml:space="preserve"> changes in RBA cash rates</w:t>
      </w:r>
      <w:r>
        <w:rPr>
          <w:rFonts w:ascii="Palatino Linotype" w:hAnsi="Palatino Linotype"/>
        </w:rPr>
        <w:t>,</w:t>
      </w:r>
      <w:r w:rsidR="00AE70A8" w:rsidRPr="00E97FD1">
        <w:rPr>
          <w:rFonts w:ascii="Palatino Linotype" w:hAnsi="Palatino Linotype"/>
        </w:rPr>
        <w:t xml:space="preserve"> and </w:t>
      </w:r>
      <w:r w:rsidR="00E8159B" w:rsidRPr="00E97FD1">
        <w:rPr>
          <w:rFonts w:ascii="Palatino Linotype" w:hAnsi="Palatino Linotype"/>
        </w:rPr>
        <w:t>bank fees are reduced to a sufficient level as so to be affordable to low income earners.</w:t>
      </w:r>
      <w:r w:rsidR="00E97FD1">
        <w:rPr>
          <w:rFonts w:ascii="Palatino Linotype" w:hAnsi="Palatino Linotype"/>
        </w:rPr>
        <w:t xml:space="preserve">  </w:t>
      </w:r>
      <w:r w:rsidR="006254F1">
        <w:rPr>
          <w:rFonts w:ascii="Palatino Linotype" w:hAnsi="Palatino Linotype"/>
        </w:rPr>
        <w:t xml:space="preserve">The Society </w:t>
      </w:r>
      <w:r>
        <w:rPr>
          <w:rFonts w:ascii="Palatino Linotype" w:hAnsi="Palatino Linotype"/>
        </w:rPr>
        <w:t xml:space="preserve">also </w:t>
      </w:r>
      <w:r w:rsidR="006254F1">
        <w:rPr>
          <w:rFonts w:ascii="Palatino Linotype" w:hAnsi="Palatino Linotype"/>
        </w:rPr>
        <w:t xml:space="preserve">recommends acknowledging the impact of credit card interest rates on the limited budgets of those receiving </w:t>
      </w:r>
      <w:proofErr w:type="spellStart"/>
      <w:r w:rsidR="006254F1">
        <w:rPr>
          <w:rFonts w:ascii="Palatino Linotype" w:hAnsi="Palatino Linotype"/>
        </w:rPr>
        <w:t>Newsta</w:t>
      </w:r>
      <w:r w:rsidR="001E2F89">
        <w:rPr>
          <w:rFonts w:ascii="Palatino Linotype" w:hAnsi="Palatino Linotype"/>
        </w:rPr>
        <w:t>rt</w:t>
      </w:r>
      <w:proofErr w:type="spellEnd"/>
      <w:r w:rsidR="001E2F89">
        <w:rPr>
          <w:rFonts w:ascii="Palatino Linotype" w:hAnsi="Palatino Linotype"/>
        </w:rPr>
        <w:t>, or other social security payments</w:t>
      </w:r>
      <w:r w:rsidR="006254F1">
        <w:rPr>
          <w:rFonts w:ascii="Palatino Linotype" w:hAnsi="Palatino Linotype"/>
        </w:rPr>
        <w:t xml:space="preserve">, and </w:t>
      </w:r>
      <w:r>
        <w:rPr>
          <w:rFonts w:ascii="Palatino Linotype" w:hAnsi="Palatino Linotype"/>
        </w:rPr>
        <w:t xml:space="preserve">we repeat our call for </w:t>
      </w:r>
      <w:proofErr w:type="spellStart"/>
      <w:r>
        <w:rPr>
          <w:rFonts w:ascii="Palatino Linotype" w:hAnsi="Palatino Linotype"/>
        </w:rPr>
        <w:t>Newstart</w:t>
      </w:r>
      <w:proofErr w:type="spellEnd"/>
      <w:r>
        <w:rPr>
          <w:rFonts w:ascii="Palatino Linotype" w:hAnsi="Palatino Linotype"/>
        </w:rPr>
        <w:t xml:space="preserve"> </w:t>
      </w:r>
      <w:r w:rsidR="006254F1">
        <w:rPr>
          <w:rFonts w:ascii="Palatino Linotype" w:hAnsi="Palatino Linotype"/>
        </w:rPr>
        <w:t xml:space="preserve">payments </w:t>
      </w:r>
      <w:r>
        <w:rPr>
          <w:rFonts w:ascii="Palatino Linotype" w:hAnsi="Palatino Linotype"/>
        </w:rPr>
        <w:t xml:space="preserve">to be increased </w:t>
      </w:r>
      <w:r w:rsidR="006254F1">
        <w:rPr>
          <w:rFonts w:ascii="Palatino Linotype" w:hAnsi="Palatino Linotype"/>
        </w:rPr>
        <w:t>by at least $50 per week.</w:t>
      </w:r>
    </w:p>
    <w:p w14:paraId="23A519F5" w14:textId="5B5285EA" w:rsidR="00A843A2" w:rsidRPr="00F74B3C" w:rsidRDefault="00047BBB">
      <w:pPr>
        <w:rPr>
          <w:rFonts w:ascii="Palatino Linotype" w:hAnsi="Palatino Linotype"/>
        </w:rPr>
      </w:pPr>
      <w:r>
        <w:rPr>
          <w:rFonts w:ascii="Palatino Linotype" w:hAnsi="Palatino Linotype"/>
        </w:rPr>
        <w:t>The importance of credit card interest rates cannot be overstated:  t</w:t>
      </w:r>
      <w:r w:rsidR="00A843A2">
        <w:rPr>
          <w:rFonts w:ascii="Palatino Linotype" w:hAnsi="Palatino Linotype"/>
        </w:rPr>
        <w:t>he financial system is one of the driving forces of the Australian economy</w:t>
      </w:r>
      <w:r>
        <w:rPr>
          <w:rFonts w:ascii="Palatino Linotype" w:hAnsi="Palatino Linotype"/>
        </w:rPr>
        <w:t>, now and into the next 30 years</w:t>
      </w:r>
      <w:r w:rsidR="00A843A2">
        <w:rPr>
          <w:rFonts w:ascii="Palatino Linotype" w:hAnsi="Palatino Linotype"/>
        </w:rPr>
        <w:t xml:space="preserve">, and consumption </w:t>
      </w:r>
      <w:r>
        <w:rPr>
          <w:rFonts w:ascii="Palatino Linotype" w:hAnsi="Palatino Linotype"/>
        </w:rPr>
        <w:t xml:space="preserve">of goods – often on credit – is a </w:t>
      </w:r>
      <w:r w:rsidR="001E2F89">
        <w:rPr>
          <w:rFonts w:ascii="Palatino Linotype" w:hAnsi="Palatino Linotype"/>
        </w:rPr>
        <w:t>primary method</w:t>
      </w:r>
      <w:r w:rsidR="00A843A2">
        <w:rPr>
          <w:rFonts w:ascii="Palatino Linotype" w:hAnsi="Palatino Linotype"/>
        </w:rPr>
        <w:t xml:space="preserve"> that Australians use to participate in our community.  It is high time that we acknowledge the </w:t>
      </w:r>
      <w:r>
        <w:rPr>
          <w:rFonts w:ascii="Palatino Linotype" w:hAnsi="Palatino Linotype"/>
        </w:rPr>
        <w:t xml:space="preserve">impact of credit card rates on the most vulnerable, and took action to remedy it. </w:t>
      </w:r>
    </w:p>
    <w:sectPr w:rsidR="00A843A2" w:rsidRPr="00F74B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07BE0" w14:textId="77777777" w:rsidR="0046111C" w:rsidRDefault="0046111C" w:rsidP="002A7D5F">
      <w:pPr>
        <w:spacing w:after="0" w:line="240" w:lineRule="auto"/>
      </w:pPr>
      <w:r>
        <w:separator/>
      </w:r>
    </w:p>
  </w:endnote>
  <w:endnote w:type="continuationSeparator" w:id="0">
    <w:p w14:paraId="179D7FC6" w14:textId="77777777" w:rsidR="0046111C" w:rsidRDefault="0046111C" w:rsidP="002A7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6E354" w14:textId="77777777" w:rsidR="0046111C" w:rsidRDefault="0046111C" w:rsidP="002A7D5F">
      <w:pPr>
        <w:spacing w:after="0" w:line="240" w:lineRule="auto"/>
      </w:pPr>
      <w:r>
        <w:separator/>
      </w:r>
    </w:p>
  </w:footnote>
  <w:footnote w:type="continuationSeparator" w:id="0">
    <w:p w14:paraId="0C926F24" w14:textId="77777777" w:rsidR="0046111C" w:rsidRDefault="0046111C" w:rsidP="002A7D5F">
      <w:pPr>
        <w:spacing w:after="0" w:line="240" w:lineRule="auto"/>
      </w:pPr>
      <w:r>
        <w:continuationSeparator/>
      </w:r>
    </w:p>
  </w:footnote>
  <w:footnote w:id="1">
    <w:p w14:paraId="4F4336DF" w14:textId="0E716F2D" w:rsidR="00576E5B" w:rsidRPr="00953841" w:rsidRDefault="00576E5B" w:rsidP="001F7F2D">
      <w:pPr>
        <w:pStyle w:val="FootnoteText"/>
        <w:rPr>
          <w:rFonts w:ascii="Palatino Linotype" w:hAnsi="Palatino Linotype"/>
        </w:rPr>
      </w:pPr>
      <w:r w:rsidRPr="00953841">
        <w:rPr>
          <w:rStyle w:val="FootnoteReference"/>
          <w:rFonts w:ascii="Palatino Linotype" w:hAnsi="Palatino Linotype"/>
        </w:rPr>
        <w:footnoteRef/>
      </w:r>
      <w:r w:rsidR="00247A67" w:rsidRPr="00953841">
        <w:rPr>
          <w:rFonts w:ascii="Palatino Linotype" w:hAnsi="Palatino Linotype"/>
        </w:rPr>
        <w:t xml:space="preserve"> </w:t>
      </w:r>
      <w:r w:rsidR="00350D52" w:rsidRPr="00953841">
        <w:rPr>
          <w:rFonts w:ascii="Palatino Linotype" w:hAnsi="Palatino Linotype"/>
        </w:rPr>
        <w:t xml:space="preserve">National Network of Councils of </w:t>
      </w:r>
      <w:r w:rsidR="00247A67" w:rsidRPr="00953841">
        <w:rPr>
          <w:rFonts w:ascii="Palatino Linotype" w:hAnsi="Palatino Linotype"/>
        </w:rPr>
        <w:t xml:space="preserve">Social Service, </w:t>
      </w:r>
      <w:r w:rsidR="00247A67" w:rsidRPr="00953841">
        <w:rPr>
          <w:rFonts w:ascii="Palatino Linotype" w:hAnsi="Palatino Linotype"/>
          <w:i/>
        </w:rPr>
        <w:t xml:space="preserve">Payment Adequacy: a view from those relying on social security payments </w:t>
      </w:r>
      <w:r w:rsidR="00350D52" w:rsidRPr="00953841">
        <w:rPr>
          <w:rFonts w:ascii="Palatino Linotype" w:hAnsi="Palatino Linotype"/>
        </w:rPr>
        <w:t>(2015)</w:t>
      </w:r>
      <w:r w:rsidR="00247A67" w:rsidRPr="00953841">
        <w:rPr>
          <w:rFonts w:ascii="Palatino Linotype" w:hAnsi="Palatino Linotype"/>
        </w:rPr>
        <w:t xml:space="preserve"> 20 at </w:t>
      </w:r>
      <w:hyperlink r:id="rId1" w:history="1">
        <w:r w:rsidR="00350D52" w:rsidRPr="00953841">
          <w:rPr>
            <w:rStyle w:val="Hyperlink"/>
            <w:rFonts w:ascii="Palatino Linotype" w:hAnsi="Palatino Linotype"/>
          </w:rPr>
          <w:t>http://www.acoss.org.au/images/uploads/COSS_Network_Payment_Adequacy_Report.pdf</w:t>
        </w:r>
      </w:hyperlink>
      <w:r w:rsidR="00350D52" w:rsidRPr="00953841">
        <w:rPr>
          <w:rFonts w:ascii="Palatino Linotype" w:hAnsi="Palatino Linotype"/>
        </w:rPr>
        <w:t xml:space="preserve">. </w:t>
      </w:r>
    </w:p>
  </w:footnote>
  <w:footnote w:id="2">
    <w:p w14:paraId="609CF50F" w14:textId="7C4B679E" w:rsidR="00576E5B" w:rsidRPr="00953841" w:rsidRDefault="00576E5B" w:rsidP="001F7F2D">
      <w:pPr>
        <w:pStyle w:val="FootnoteText"/>
        <w:rPr>
          <w:rFonts w:ascii="Palatino Linotype" w:hAnsi="Palatino Linotype"/>
          <w:u w:val="single"/>
        </w:rPr>
      </w:pPr>
      <w:r w:rsidRPr="00953841">
        <w:rPr>
          <w:rStyle w:val="FootnoteReference"/>
          <w:rFonts w:ascii="Palatino Linotype" w:hAnsi="Palatino Linotype"/>
        </w:rPr>
        <w:footnoteRef/>
      </w:r>
      <w:r w:rsidR="00C55F20" w:rsidRPr="00953841">
        <w:rPr>
          <w:rFonts w:ascii="Palatino Linotype" w:hAnsi="Palatino Linotype"/>
        </w:rPr>
        <w:t xml:space="preserve"> Ibid</w:t>
      </w:r>
      <w:r w:rsidRPr="00953841">
        <w:rPr>
          <w:rFonts w:ascii="Palatino Linotype" w:hAnsi="Palatino Linotype"/>
        </w:rPr>
        <w:t>.</w:t>
      </w:r>
    </w:p>
  </w:footnote>
  <w:footnote w:id="3">
    <w:p w14:paraId="4C2C807C" w14:textId="5E24584B" w:rsidR="00576E5B" w:rsidRPr="00953841" w:rsidRDefault="00576E5B" w:rsidP="001F7F2D">
      <w:pPr>
        <w:pStyle w:val="FootnoteText"/>
        <w:rPr>
          <w:rFonts w:ascii="Palatino Linotype" w:hAnsi="Palatino Linotype"/>
          <w:bCs/>
        </w:rPr>
      </w:pPr>
      <w:r w:rsidRPr="00953841">
        <w:rPr>
          <w:rStyle w:val="FootnoteReference"/>
          <w:rFonts w:ascii="Palatino Linotype" w:hAnsi="Palatino Linotype"/>
        </w:rPr>
        <w:footnoteRef/>
      </w:r>
      <w:r w:rsidR="00016109" w:rsidRPr="00953841">
        <w:rPr>
          <w:rFonts w:ascii="Palatino Linotype" w:hAnsi="Palatino Linotype"/>
        </w:rPr>
        <w:t xml:space="preserve"> </w:t>
      </w:r>
      <w:r w:rsidR="0037592C" w:rsidRPr="00953841">
        <w:rPr>
          <w:rFonts w:ascii="Palatino Linotype" w:hAnsi="Palatino Linotype"/>
        </w:rPr>
        <w:t xml:space="preserve">Australian Bureau of Statistics (ABS), </w:t>
      </w:r>
      <w:r w:rsidR="0037592C" w:rsidRPr="00953841">
        <w:rPr>
          <w:rFonts w:ascii="Palatino Linotype" w:hAnsi="Palatino Linotype"/>
          <w:bCs/>
          <w:i/>
        </w:rPr>
        <w:t>What Types Of Debts Do Households Have?</w:t>
      </w:r>
      <w:r w:rsidR="0037592C" w:rsidRPr="00953841">
        <w:rPr>
          <w:rFonts w:ascii="Palatino Linotype" w:hAnsi="Palatino Linotype"/>
          <w:b/>
          <w:bCs/>
        </w:rPr>
        <w:t xml:space="preserve"> </w:t>
      </w:r>
      <w:r w:rsidR="0037592C" w:rsidRPr="00953841">
        <w:rPr>
          <w:rFonts w:ascii="Palatino Linotype" w:hAnsi="Palatino Linotype"/>
          <w:bCs/>
          <w:i/>
        </w:rPr>
        <w:t>Australian Social Trends</w:t>
      </w:r>
      <w:r w:rsidR="0037592C" w:rsidRPr="00953841">
        <w:rPr>
          <w:rFonts w:ascii="Palatino Linotype" w:hAnsi="Palatino Linotype"/>
          <w:b/>
          <w:bCs/>
          <w:i/>
        </w:rPr>
        <w:t xml:space="preserve"> </w:t>
      </w:r>
      <w:r w:rsidR="00350D52" w:rsidRPr="00953841">
        <w:rPr>
          <w:rFonts w:ascii="Palatino Linotype" w:hAnsi="Palatino Linotype"/>
          <w:bCs/>
        </w:rPr>
        <w:t xml:space="preserve">(2014) </w:t>
      </w:r>
      <w:r w:rsidR="0037592C" w:rsidRPr="00953841">
        <w:rPr>
          <w:rFonts w:ascii="Palatino Linotype" w:hAnsi="Palatino Linotype"/>
          <w:bCs/>
        </w:rPr>
        <w:t xml:space="preserve">at </w:t>
      </w:r>
      <w:hyperlink r:id="rId2" w:anchor="creditcard" w:history="1">
        <w:r w:rsidR="0037592C" w:rsidRPr="00953841">
          <w:rPr>
            <w:rStyle w:val="Hyperlink"/>
            <w:rFonts w:ascii="Palatino Linotype" w:hAnsi="Palatino Linotype"/>
            <w:bCs/>
          </w:rPr>
          <w:t>http://www.abs.gov.au/ausstats/abs@.nsf/Lookup/4102.0main+features402014#creditcard</w:t>
        </w:r>
      </w:hyperlink>
      <w:r w:rsidR="00350D52" w:rsidRPr="00953841">
        <w:rPr>
          <w:rFonts w:ascii="Palatino Linotype" w:hAnsi="Palatino Linotype"/>
        </w:rPr>
        <w:t>.</w:t>
      </w:r>
    </w:p>
  </w:footnote>
  <w:footnote w:id="4">
    <w:p w14:paraId="6249EC69" w14:textId="1BEEC67D" w:rsidR="00576E5B" w:rsidRPr="00953841" w:rsidRDefault="00576E5B" w:rsidP="001F7F2D">
      <w:pPr>
        <w:pStyle w:val="FootnoteText"/>
        <w:rPr>
          <w:rFonts w:ascii="Palatino Linotype" w:hAnsi="Palatino Linotype"/>
        </w:rPr>
      </w:pPr>
      <w:r w:rsidRPr="00953841">
        <w:rPr>
          <w:rStyle w:val="FootnoteReference"/>
          <w:rFonts w:ascii="Palatino Linotype" w:hAnsi="Palatino Linotype"/>
        </w:rPr>
        <w:footnoteRef/>
      </w:r>
      <w:r w:rsidR="000D54CB" w:rsidRPr="00953841">
        <w:rPr>
          <w:rFonts w:ascii="Palatino Linotype" w:hAnsi="Palatino Linotype"/>
        </w:rPr>
        <w:t xml:space="preserve"> </w:t>
      </w:r>
      <w:r w:rsidR="00016109" w:rsidRPr="00953841">
        <w:rPr>
          <w:rFonts w:ascii="Palatino Linotype" w:hAnsi="Palatino Linotype"/>
        </w:rPr>
        <w:t xml:space="preserve">John Simon, Kylie Smith and Tim West, </w:t>
      </w:r>
      <w:r w:rsidR="00016109" w:rsidRPr="00953841">
        <w:rPr>
          <w:rFonts w:ascii="Palatino Linotype" w:hAnsi="Palatino Linotype"/>
          <w:i/>
        </w:rPr>
        <w:t>Reserve Bank of Australia: Price Incentives and Consumer Payment Behaviour</w:t>
      </w:r>
      <w:r w:rsidR="00016109" w:rsidRPr="00953841">
        <w:rPr>
          <w:rFonts w:ascii="Palatino Linotype" w:hAnsi="Palatino Linotype"/>
        </w:rPr>
        <w:t xml:space="preserve"> (June 2009) at </w:t>
      </w:r>
      <w:hyperlink r:id="rId3" w:history="1">
        <w:r w:rsidR="00016109" w:rsidRPr="00953841">
          <w:rPr>
            <w:rStyle w:val="Hyperlink"/>
            <w:rFonts w:ascii="Palatino Linotype" w:hAnsi="Palatino Linotype"/>
          </w:rPr>
          <w:t>http://www.rba.gov.au/publications/rdp/2009/pdf/rdp2009-04.pdf</w:t>
        </w:r>
      </w:hyperlink>
      <w:r w:rsidR="00016109" w:rsidRPr="00953841">
        <w:rPr>
          <w:rFonts w:ascii="Palatino Linotype" w:hAnsi="Palatino Linotype"/>
        </w:rPr>
        <w:t xml:space="preserve">   </w:t>
      </w:r>
    </w:p>
  </w:footnote>
  <w:footnote w:id="5">
    <w:p w14:paraId="0A880DB7" w14:textId="77777777" w:rsidR="00576E5B" w:rsidRPr="00953841" w:rsidRDefault="00576E5B" w:rsidP="001F7F2D">
      <w:pPr>
        <w:pStyle w:val="FootnoteText"/>
        <w:rPr>
          <w:rFonts w:ascii="Palatino Linotype" w:hAnsi="Palatino Linotype"/>
          <w:u w:val="single"/>
        </w:rPr>
      </w:pPr>
      <w:r w:rsidRPr="00953841">
        <w:rPr>
          <w:rStyle w:val="FootnoteReference"/>
          <w:rFonts w:ascii="Palatino Linotype" w:hAnsi="Palatino Linotype"/>
        </w:rPr>
        <w:footnoteRef/>
      </w:r>
      <w:r w:rsidRPr="00953841">
        <w:rPr>
          <w:rFonts w:ascii="Palatino Linotype" w:hAnsi="Palatino Linotype"/>
        </w:rPr>
        <w:t xml:space="preserve"> ABS, </w:t>
      </w:r>
      <w:r w:rsidRPr="00953841">
        <w:rPr>
          <w:rFonts w:ascii="Palatino Linotype" w:hAnsi="Palatino Linotype"/>
          <w:i/>
        </w:rPr>
        <w:t xml:space="preserve">Australia's unemployment rate increased to 6.0 per cent in June 2015, Media Release </w:t>
      </w:r>
      <w:r w:rsidRPr="00953841">
        <w:rPr>
          <w:rFonts w:ascii="Palatino Linotype" w:hAnsi="Palatino Linotype"/>
        </w:rPr>
        <w:t>(June, 2015) at</w:t>
      </w:r>
      <w:r w:rsidRPr="00953841">
        <w:rPr>
          <w:rFonts w:ascii="Palatino Linotype" w:hAnsi="Palatino Linotype"/>
          <w:i/>
        </w:rPr>
        <w:t xml:space="preserve"> </w:t>
      </w:r>
      <w:hyperlink r:id="rId4" w:history="1">
        <w:r w:rsidRPr="00953841">
          <w:rPr>
            <w:rStyle w:val="Hyperlink"/>
            <w:rFonts w:ascii="Palatino Linotype" w:hAnsi="Palatino Linotype"/>
          </w:rPr>
          <w:t>abs.gov.au/ausstats%5Cabs@.nsf/mediareleasesbyCatalogue/46DFE12FCDB783D9CA256B740082AA6C</w:t>
        </w:r>
      </w:hyperlink>
      <w:r w:rsidRPr="00953841">
        <w:rPr>
          <w:rFonts w:ascii="Palatino Linotype" w:hAnsi="Palatino Linotype"/>
          <w:u w:val="single"/>
        </w:rPr>
        <w:t xml:space="preserve"> </w:t>
      </w:r>
    </w:p>
  </w:footnote>
  <w:footnote w:id="6">
    <w:p w14:paraId="0CFE9FF0" w14:textId="2E4C031D" w:rsidR="00350D52" w:rsidRPr="00953841" w:rsidRDefault="00350D52">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See, eg, ABS, ‘Underemployed Workers, Australia, </w:t>
      </w:r>
      <w:proofErr w:type="gramStart"/>
      <w:r w:rsidRPr="00953841">
        <w:rPr>
          <w:rFonts w:ascii="Palatino Linotype" w:hAnsi="Palatino Linotype"/>
        </w:rPr>
        <w:t xml:space="preserve">September 2013 at </w:t>
      </w:r>
      <w:hyperlink r:id="rId5" w:history="1">
        <w:r w:rsidRPr="00953841">
          <w:rPr>
            <w:rStyle w:val="Hyperlink"/>
            <w:rFonts w:ascii="Palatino Linotype" w:hAnsi="Palatino Linotype"/>
          </w:rPr>
          <w:t>http://www.abs.gov.au/ausstats/abs@.nsf/mf/6265.0</w:t>
        </w:r>
        <w:proofErr w:type="gramEnd"/>
      </w:hyperlink>
      <w:r w:rsidRPr="00953841">
        <w:rPr>
          <w:rFonts w:ascii="Palatino Linotype" w:hAnsi="Palatino Linotype"/>
        </w:rPr>
        <w:t xml:space="preserve">. </w:t>
      </w:r>
    </w:p>
  </w:footnote>
  <w:footnote w:id="7">
    <w:p w14:paraId="2082E758" w14:textId="11BA6810" w:rsidR="00576E5B" w:rsidRPr="00953841" w:rsidRDefault="00576E5B" w:rsidP="001F7F2D">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See</w:t>
      </w:r>
      <w:r w:rsidR="00953841" w:rsidRPr="00953841">
        <w:rPr>
          <w:rFonts w:ascii="Palatino Linotype" w:hAnsi="Palatino Linotype"/>
        </w:rPr>
        <w:t>,</w:t>
      </w:r>
      <w:r w:rsidRPr="00953841">
        <w:rPr>
          <w:rFonts w:ascii="Palatino Linotype" w:hAnsi="Palatino Linotype"/>
        </w:rPr>
        <w:t xml:space="preserve"> </w:t>
      </w:r>
      <w:r w:rsidR="00953841" w:rsidRPr="00953841">
        <w:rPr>
          <w:rFonts w:ascii="Palatino Linotype" w:hAnsi="Palatino Linotype"/>
        </w:rPr>
        <w:t>eg</w:t>
      </w:r>
      <w:r w:rsidRPr="00953841">
        <w:rPr>
          <w:rFonts w:ascii="Palatino Linotype" w:hAnsi="Palatino Linotype"/>
        </w:rPr>
        <w:t>, M</w:t>
      </w:r>
      <w:r w:rsidR="00350D52" w:rsidRPr="00953841">
        <w:rPr>
          <w:rFonts w:ascii="Palatino Linotype" w:hAnsi="Palatino Linotype"/>
        </w:rPr>
        <w:t>ichael</w:t>
      </w:r>
      <w:r w:rsidRPr="00953841">
        <w:rPr>
          <w:rFonts w:ascii="Palatino Linotype" w:hAnsi="Palatino Linotype"/>
        </w:rPr>
        <w:t xml:space="preserve"> </w:t>
      </w:r>
      <w:proofErr w:type="spellStart"/>
      <w:r w:rsidRPr="00953841">
        <w:rPr>
          <w:rFonts w:ascii="Palatino Linotype" w:hAnsi="Palatino Linotype"/>
        </w:rPr>
        <w:t>Janda</w:t>
      </w:r>
      <w:proofErr w:type="spellEnd"/>
      <w:r w:rsidRPr="00953841">
        <w:rPr>
          <w:rFonts w:ascii="Palatino Linotype" w:hAnsi="Palatino Linotype"/>
        </w:rPr>
        <w:t xml:space="preserve"> and S</w:t>
      </w:r>
      <w:r w:rsidR="00350D52" w:rsidRPr="00953841">
        <w:rPr>
          <w:rFonts w:ascii="Palatino Linotype" w:hAnsi="Palatino Linotype"/>
        </w:rPr>
        <w:t>tephen</w:t>
      </w:r>
      <w:r w:rsidRPr="00953841">
        <w:rPr>
          <w:rFonts w:ascii="Palatino Linotype" w:hAnsi="Palatino Linotype"/>
        </w:rPr>
        <w:t xml:space="preserve"> Letts, ‘Australian bank profits in pictures’ </w:t>
      </w:r>
      <w:r w:rsidRPr="00953841">
        <w:rPr>
          <w:rFonts w:ascii="Palatino Linotype" w:hAnsi="Palatino Linotype"/>
          <w:i/>
        </w:rPr>
        <w:t>ABC News</w:t>
      </w:r>
      <w:r w:rsidRPr="00953841">
        <w:rPr>
          <w:rFonts w:ascii="Palatino Linotype" w:hAnsi="Palatino Linotype"/>
        </w:rPr>
        <w:t xml:space="preserve"> </w:t>
      </w:r>
      <w:r w:rsidR="00953841" w:rsidRPr="00953841">
        <w:rPr>
          <w:rFonts w:ascii="Palatino Linotype" w:hAnsi="Palatino Linotype"/>
        </w:rPr>
        <w:t xml:space="preserve">(May 2015) </w:t>
      </w:r>
      <w:r w:rsidRPr="00953841">
        <w:rPr>
          <w:rFonts w:ascii="Palatino Linotype" w:hAnsi="Palatino Linotype"/>
        </w:rPr>
        <w:t xml:space="preserve">at </w:t>
      </w:r>
      <w:hyperlink r:id="rId6" w:history="1">
        <w:r w:rsidRPr="00953841">
          <w:rPr>
            <w:rStyle w:val="Hyperlink"/>
            <w:rFonts w:ascii="Palatino Linotype" w:hAnsi="Palatino Linotype"/>
          </w:rPr>
          <w:t>http://www.abc.net.au/news/2015-05-08/australian-bank-profits-in-pictures/6454428</w:t>
        </w:r>
      </w:hyperlink>
    </w:p>
  </w:footnote>
  <w:footnote w:id="8">
    <w:p w14:paraId="58F1E7D8" w14:textId="23BA4C1A" w:rsidR="00576E5B" w:rsidRPr="00953841" w:rsidRDefault="00576E5B" w:rsidP="001F7F2D">
      <w:pPr>
        <w:pStyle w:val="FootnoteText"/>
        <w:rPr>
          <w:rFonts w:ascii="Palatino Linotype" w:hAnsi="Palatino Linotype"/>
        </w:rPr>
      </w:pPr>
      <w:r w:rsidRPr="00953841">
        <w:rPr>
          <w:rStyle w:val="FootnoteReference"/>
          <w:rFonts w:ascii="Palatino Linotype" w:hAnsi="Palatino Linotype"/>
        </w:rPr>
        <w:footnoteRef/>
      </w:r>
      <w:r w:rsidR="00016109" w:rsidRPr="00953841">
        <w:rPr>
          <w:rFonts w:ascii="Palatino Linotype" w:hAnsi="Palatino Linotype"/>
        </w:rPr>
        <w:t xml:space="preserve"> The Australia Institute, </w:t>
      </w:r>
      <w:r w:rsidR="00016109" w:rsidRPr="00953841">
        <w:rPr>
          <w:rFonts w:ascii="Palatino Linotype" w:hAnsi="Palatino Linotype"/>
          <w:i/>
        </w:rPr>
        <w:t>Money and Power: The case for better regulation in banking, Institute Paper</w:t>
      </w:r>
      <w:r w:rsidR="00016109" w:rsidRPr="00953841">
        <w:rPr>
          <w:rFonts w:ascii="Palatino Linotype" w:hAnsi="Palatino Linotype"/>
        </w:rPr>
        <w:t xml:space="preserve"> (August 2010)</w:t>
      </w:r>
      <w:r w:rsidR="00953841" w:rsidRPr="00953841">
        <w:rPr>
          <w:rFonts w:ascii="Palatino Linotype" w:hAnsi="Palatino Linotype"/>
        </w:rPr>
        <w:t xml:space="preserve"> 9</w:t>
      </w:r>
      <w:r w:rsidR="00016109" w:rsidRPr="00953841">
        <w:rPr>
          <w:rFonts w:ascii="Palatino Linotype" w:hAnsi="Palatino Linotype"/>
        </w:rPr>
        <w:t xml:space="preserve"> at </w:t>
      </w:r>
      <w:hyperlink r:id="rId7" w:history="1">
        <w:r w:rsidR="00016109" w:rsidRPr="00953841">
          <w:rPr>
            <w:rStyle w:val="Hyperlink"/>
            <w:rFonts w:ascii="Palatino Linotype" w:hAnsi="Palatino Linotype"/>
          </w:rPr>
          <w:t>http://www.tai.org.au/node/1650</w:t>
        </w:r>
      </w:hyperlink>
      <w:r w:rsidR="00953841" w:rsidRPr="00953841">
        <w:rPr>
          <w:rFonts w:ascii="Palatino Linotype" w:hAnsi="Palatino Linotype"/>
        </w:rPr>
        <w:t>.</w:t>
      </w:r>
    </w:p>
  </w:footnote>
  <w:footnote w:id="9">
    <w:p w14:paraId="70C76A19" w14:textId="55D74F68" w:rsidR="00576E5B" w:rsidRPr="00953841" w:rsidRDefault="00576E5B" w:rsidP="001F7F2D">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w:t>
      </w:r>
      <w:r w:rsidR="00953841" w:rsidRPr="00953841">
        <w:rPr>
          <w:rFonts w:ascii="Palatino Linotype" w:hAnsi="Palatino Linotype"/>
        </w:rPr>
        <w:t xml:space="preserve">Above n </w:t>
      </w:r>
      <w:r w:rsidR="00016109" w:rsidRPr="00953841">
        <w:rPr>
          <w:rFonts w:ascii="Palatino Linotype" w:hAnsi="Palatino Linotype"/>
        </w:rPr>
        <w:t>4.</w:t>
      </w:r>
    </w:p>
  </w:footnote>
  <w:footnote w:id="10">
    <w:p w14:paraId="4A262D6E" w14:textId="6CEF37D7" w:rsidR="00276DF9" w:rsidRPr="00953841" w:rsidRDefault="00576E5B" w:rsidP="00276DF9">
      <w:pPr>
        <w:pStyle w:val="FootnoteText"/>
        <w:rPr>
          <w:rFonts w:ascii="Palatino Linotype" w:hAnsi="Palatino Linotype"/>
          <w:i/>
        </w:rPr>
      </w:pPr>
      <w:r w:rsidRPr="00953841">
        <w:rPr>
          <w:rStyle w:val="FootnoteReference"/>
          <w:rFonts w:ascii="Palatino Linotype" w:hAnsi="Palatino Linotype"/>
        </w:rPr>
        <w:footnoteRef/>
      </w:r>
      <w:r w:rsidR="00276DF9" w:rsidRPr="00953841">
        <w:rPr>
          <w:rFonts w:ascii="Palatino Linotype" w:hAnsi="Palatino Linotype"/>
          <w:vertAlign w:val="superscript"/>
        </w:rPr>
        <w:t xml:space="preserve"> </w:t>
      </w:r>
      <w:r w:rsidR="00276DF9" w:rsidRPr="00953841">
        <w:rPr>
          <w:rFonts w:ascii="Palatino Linotype" w:hAnsi="Palatino Linotype"/>
        </w:rPr>
        <w:t>The Reserve Bank of Australia (RBA</w:t>
      </w:r>
      <w:r w:rsidR="00276DF9" w:rsidRPr="00953841">
        <w:rPr>
          <w:rFonts w:ascii="Palatino Linotype" w:hAnsi="Palatino Linotype"/>
          <w:i/>
        </w:rPr>
        <w:t>), Review of Card Payments Regulation, Issues Paper</w:t>
      </w:r>
    </w:p>
    <w:p w14:paraId="2D3E3D77" w14:textId="7C15152B" w:rsidR="00576E5B" w:rsidRPr="00953841" w:rsidRDefault="00276DF9" w:rsidP="00276DF9">
      <w:pPr>
        <w:pStyle w:val="FootnoteText"/>
        <w:rPr>
          <w:rFonts w:ascii="Palatino Linotype" w:hAnsi="Palatino Linotype"/>
          <w:i/>
        </w:rPr>
      </w:pPr>
      <w:r w:rsidRPr="00953841">
        <w:rPr>
          <w:rFonts w:ascii="Palatino Linotype" w:hAnsi="Palatino Linotype"/>
        </w:rPr>
        <w:t xml:space="preserve">(March 2015) at </w:t>
      </w:r>
      <w:hyperlink r:id="rId8" w:history="1">
        <w:r w:rsidRPr="00953841">
          <w:rPr>
            <w:rStyle w:val="Hyperlink"/>
            <w:rFonts w:ascii="Palatino Linotype" w:hAnsi="Palatino Linotype"/>
          </w:rPr>
          <w:t>http://www.rba.gov.au/payments-system/reforms/review-of-card-payments-regulation/review-of-card-payments-regulation-issues-paper.html</w:t>
        </w:r>
      </w:hyperlink>
    </w:p>
  </w:footnote>
  <w:footnote w:id="11">
    <w:p w14:paraId="2D91DBBC" w14:textId="5ACBF2D1" w:rsidR="004A03F1" w:rsidRPr="00953841" w:rsidRDefault="00576E5B" w:rsidP="001F7F2D">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w:t>
      </w:r>
      <w:r w:rsidR="00953841">
        <w:rPr>
          <w:rFonts w:ascii="Palatino Linotype" w:hAnsi="Palatino Linotype"/>
        </w:rPr>
        <w:t>Above n</w:t>
      </w:r>
      <w:r w:rsidR="00276DF9" w:rsidRPr="00953841">
        <w:rPr>
          <w:rFonts w:ascii="Palatino Linotype" w:hAnsi="Palatino Linotype"/>
        </w:rPr>
        <w:t xml:space="preserve"> 4.</w:t>
      </w:r>
    </w:p>
  </w:footnote>
  <w:footnote w:id="12">
    <w:p w14:paraId="3402355B" w14:textId="2105C598" w:rsidR="00C55F20" w:rsidRPr="00953841" w:rsidRDefault="00C55F20">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w:t>
      </w:r>
      <w:r w:rsidR="00953841">
        <w:rPr>
          <w:rFonts w:ascii="Palatino Linotype" w:hAnsi="Palatino Linotype"/>
        </w:rPr>
        <w:t xml:space="preserve">Above n </w:t>
      </w:r>
      <w:r w:rsidR="00953841" w:rsidRPr="00953841">
        <w:rPr>
          <w:rFonts w:ascii="Palatino Linotype" w:hAnsi="Palatino Linotype"/>
        </w:rPr>
        <w:t>10</w:t>
      </w:r>
      <w:r w:rsidRPr="00953841">
        <w:rPr>
          <w:rFonts w:ascii="Palatino Linotype" w:hAnsi="Palatino Linotype"/>
        </w:rPr>
        <w:t>.</w:t>
      </w:r>
    </w:p>
  </w:footnote>
  <w:footnote w:id="13">
    <w:p w14:paraId="224DC36F" w14:textId="62FF09D8" w:rsidR="00C55F20" w:rsidRPr="00953841" w:rsidRDefault="00C55F20">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Australian Bureau of Statistics (ABS), </w:t>
      </w:r>
      <w:r w:rsidRPr="00953841">
        <w:rPr>
          <w:rFonts w:ascii="Palatino Linotype" w:hAnsi="Palatino Linotype" w:cs="Arial"/>
          <w:bCs/>
          <w:i/>
          <w:color w:val="000000"/>
        </w:rPr>
        <w:t>What Types Of Debts Do Households Have?</w:t>
      </w:r>
      <w:r w:rsidRPr="00953841">
        <w:rPr>
          <w:rFonts w:ascii="Palatino Linotype" w:hAnsi="Palatino Linotype" w:cs="Arial"/>
          <w:b/>
          <w:bCs/>
          <w:color w:val="000000"/>
          <w:shd w:val="clear" w:color="auto" w:fill="FFFFFF"/>
        </w:rPr>
        <w:t xml:space="preserve"> </w:t>
      </w:r>
      <w:r w:rsidR="00953841">
        <w:rPr>
          <w:rFonts w:ascii="Palatino Linotype" w:hAnsi="Palatino Linotype" w:cs="Arial"/>
          <w:bCs/>
          <w:i/>
          <w:color w:val="000000"/>
        </w:rPr>
        <w:t>Australian Social Trends</w:t>
      </w:r>
      <w:r w:rsidRPr="00953841">
        <w:rPr>
          <w:rFonts w:ascii="Palatino Linotype" w:hAnsi="Palatino Linotype" w:cs="Arial"/>
          <w:b/>
          <w:bCs/>
          <w:i/>
          <w:color w:val="000000"/>
        </w:rPr>
        <w:t xml:space="preserve"> </w:t>
      </w:r>
      <w:r w:rsidRPr="00953841">
        <w:rPr>
          <w:rFonts w:ascii="Palatino Linotype" w:hAnsi="Palatino Linotype" w:cs="Arial"/>
          <w:bCs/>
          <w:color w:val="000000"/>
        </w:rPr>
        <w:t xml:space="preserve">(2014) at </w:t>
      </w:r>
      <w:hyperlink r:id="rId9" w:anchor="creditcard" w:history="1">
        <w:r w:rsidRPr="00953841">
          <w:rPr>
            <w:rStyle w:val="Hyperlink"/>
            <w:rFonts w:ascii="Palatino Linotype" w:hAnsi="Palatino Linotype" w:cs="Arial"/>
            <w:bCs/>
          </w:rPr>
          <w:t>http://www.abs.gov.au/ausstats/abs@.nsf/Lookup/4102.0main+features402014#creditcard</w:t>
        </w:r>
      </w:hyperlink>
      <w:r w:rsidR="00953841" w:rsidRPr="00953841">
        <w:rPr>
          <w:rFonts w:ascii="Palatino Linotype" w:hAnsi="Palatino Linotype"/>
        </w:rPr>
        <w:t>.</w:t>
      </w:r>
    </w:p>
  </w:footnote>
  <w:footnote w:id="14">
    <w:p w14:paraId="207C7135" w14:textId="177576F0" w:rsidR="00C55F20" w:rsidRPr="00953841" w:rsidRDefault="00C55F20">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G</w:t>
      </w:r>
      <w:r w:rsidR="00953841">
        <w:rPr>
          <w:rFonts w:ascii="Palatino Linotype" w:hAnsi="Palatino Linotype"/>
        </w:rPr>
        <w:t>avin</w:t>
      </w:r>
      <w:r w:rsidRPr="00953841">
        <w:rPr>
          <w:rFonts w:ascii="Palatino Linotype" w:hAnsi="Palatino Linotype"/>
        </w:rPr>
        <w:t xml:space="preserve"> </w:t>
      </w:r>
      <w:proofErr w:type="spellStart"/>
      <w:r w:rsidRPr="00953841">
        <w:rPr>
          <w:rFonts w:ascii="Palatino Linotype" w:hAnsi="Palatino Linotype"/>
        </w:rPr>
        <w:t>Dufty</w:t>
      </w:r>
      <w:proofErr w:type="spellEnd"/>
      <w:r w:rsidRPr="00953841">
        <w:rPr>
          <w:rFonts w:ascii="Palatino Linotype" w:hAnsi="Palatino Linotype"/>
        </w:rPr>
        <w:t xml:space="preserve"> and I</w:t>
      </w:r>
      <w:r w:rsidR="00953841">
        <w:rPr>
          <w:rFonts w:ascii="Palatino Linotype" w:hAnsi="Palatino Linotype"/>
        </w:rPr>
        <w:t>an</w:t>
      </w:r>
      <w:r w:rsidRPr="00953841">
        <w:rPr>
          <w:rFonts w:ascii="Palatino Linotype" w:hAnsi="Palatino Linotype"/>
        </w:rPr>
        <w:t xml:space="preserve"> Macmillan, </w:t>
      </w:r>
      <w:r w:rsidRPr="00953841">
        <w:rPr>
          <w:rFonts w:ascii="Palatino Linotype" w:hAnsi="Palatino Linotype"/>
          <w:i/>
        </w:rPr>
        <w:t>‘The Relative Price Index: The CPI and the implications of changing cost pressures on various household groups’</w:t>
      </w:r>
      <w:r w:rsidRPr="00953841">
        <w:rPr>
          <w:rFonts w:ascii="Palatino Linotype" w:hAnsi="Palatino Linotype"/>
        </w:rPr>
        <w:t xml:space="preserve"> St Vincent de Paul Society (December, 2012) at  </w:t>
      </w:r>
      <w:hyperlink r:id="rId10" w:history="1">
        <w:r w:rsidRPr="00953841">
          <w:rPr>
            <w:rStyle w:val="Hyperlink"/>
            <w:rFonts w:ascii="Palatino Linotype" w:hAnsi="Palatino Linotype"/>
          </w:rPr>
          <w:t>http://www.vinnies.org.au/content/Document/RPI_Summary_Report_Aus_Dec_2012%20(21%20August%202013).pdf</w:t>
        </w:r>
      </w:hyperlink>
    </w:p>
  </w:footnote>
  <w:footnote w:id="15">
    <w:p w14:paraId="05FE8119" w14:textId="1060A584" w:rsidR="00C55F20" w:rsidRPr="00953841" w:rsidRDefault="00C55F20">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ANZ, </w:t>
      </w:r>
      <w:r w:rsidRPr="00953841">
        <w:rPr>
          <w:rFonts w:ascii="Palatino Linotype" w:hAnsi="Palatino Linotype"/>
          <w:i/>
        </w:rPr>
        <w:t>2014 Annual Report</w:t>
      </w:r>
      <w:r w:rsidRPr="00953841">
        <w:rPr>
          <w:rFonts w:ascii="Palatino Linotype" w:hAnsi="Palatino Linotype"/>
        </w:rPr>
        <w:t xml:space="preserve"> (2014) at </w:t>
      </w:r>
      <w:hyperlink r:id="rId11" w:history="1">
        <w:r w:rsidRPr="00953841">
          <w:rPr>
            <w:rStyle w:val="Hyperlink"/>
            <w:rFonts w:ascii="Palatino Linotype" w:hAnsi="Palatino Linotype"/>
          </w:rPr>
          <w:t>https://www.shareholder.anz.com/sites/default/files/2014-ANZ-Annual-Report.pdf</w:t>
        </w:r>
      </w:hyperlink>
    </w:p>
  </w:footnote>
  <w:footnote w:id="16">
    <w:p w14:paraId="7B1491AF" w14:textId="66BA61A3" w:rsidR="006809B5" w:rsidRPr="00953841" w:rsidRDefault="0077018F">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Commonwealth Bank of Australia, </w:t>
      </w:r>
      <w:r w:rsidR="006809B5" w:rsidRPr="00953841">
        <w:rPr>
          <w:rFonts w:ascii="Palatino Linotype" w:hAnsi="Palatino Linotype"/>
          <w:i/>
        </w:rPr>
        <w:t>Commonwealth Bank</w:t>
      </w:r>
      <w:r w:rsidR="006809B5" w:rsidRPr="00953841">
        <w:rPr>
          <w:rFonts w:ascii="Palatino Linotype" w:hAnsi="Palatino Linotype"/>
        </w:rPr>
        <w:t xml:space="preserve">: </w:t>
      </w:r>
      <w:r w:rsidR="006809B5" w:rsidRPr="00953841">
        <w:rPr>
          <w:rFonts w:ascii="Palatino Linotype" w:hAnsi="Palatino Linotype"/>
          <w:i/>
        </w:rPr>
        <w:t>Profit Announcement: for the full year ended 30 June, 2014</w:t>
      </w:r>
      <w:r w:rsidR="006809B5" w:rsidRPr="00953841">
        <w:rPr>
          <w:rFonts w:ascii="Palatino Linotype" w:hAnsi="Palatino Linotype"/>
        </w:rPr>
        <w:t xml:space="preserve"> (2014) at</w:t>
      </w:r>
    </w:p>
    <w:p w14:paraId="2EC074DC" w14:textId="5F25E893" w:rsidR="0077018F" w:rsidRPr="00953841" w:rsidRDefault="0046111C">
      <w:pPr>
        <w:pStyle w:val="FootnoteText"/>
        <w:rPr>
          <w:rFonts w:ascii="Palatino Linotype" w:hAnsi="Palatino Linotype"/>
        </w:rPr>
      </w:pPr>
      <w:hyperlink r:id="rId12" w:history="1">
        <w:r w:rsidR="006809B5" w:rsidRPr="00953841">
          <w:rPr>
            <w:rStyle w:val="Hyperlink"/>
            <w:rFonts w:ascii="Palatino Linotype" w:hAnsi="Palatino Linotype"/>
          </w:rPr>
          <w:t>https://www.commbank.com.au/about-us/shareholders/financial-information/2014-results.html</w:t>
        </w:r>
      </w:hyperlink>
      <w:r w:rsidR="006809B5" w:rsidRPr="00953841">
        <w:rPr>
          <w:rFonts w:ascii="Palatino Linotype" w:hAnsi="Palatino Linotype"/>
        </w:rPr>
        <w:t xml:space="preserve"> </w:t>
      </w:r>
    </w:p>
  </w:footnote>
  <w:footnote w:id="17">
    <w:p w14:paraId="79978727" w14:textId="14A10200" w:rsidR="00C55F20" w:rsidRPr="00953841" w:rsidRDefault="00C55F20" w:rsidP="00C55F20">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Westpac, </w:t>
      </w:r>
      <w:r w:rsidRPr="00953841">
        <w:rPr>
          <w:rFonts w:ascii="Palatino Linotype" w:hAnsi="Palatino Linotype"/>
          <w:i/>
        </w:rPr>
        <w:t>2014 A Year of Delivery: Annual Report</w:t>
      </w:r>
      <w:r w:rsidRPr="00953841">
        <w:rPr>
          <w:rFonts w:ascii="Palatino Linotype" w:hAnsi="Palatino Linotype"/>
        </w:rPr>
        <w:t xml:space="preserve"> (2014) at </w:t>
      </w:r>
      <w:hyperlink r:id="rId13" w:history="1">
        <w:r w:rsidRPr="00953841">
          <w:rPr>
            <w:rStyle w:val="Hyperlink"/>
            <w:rFonts w:ascii="Palatino Linotype" w:hAnsi="Palatino Linotype"/>
          </w:rPr>
          <w:t>http://www.westpac.com.au/docs/pdf/aw/ic/2014WestpacGroupAnnualReport.pdf</w:t>
        </w:r>
      </w:hyperlink>
      <w:r w:rsidR="00953841" w:rsidRPr="00953841">
        <w:rPr>
          <w:rFonts w:ascii="Palatino Linotype" w:hAnsi="Palatino Linotype"/>
        </w:rPr>
        <w:t>.</w:t>
      </w:r>
    </w:p>
  </w:footnote>
  <w:footnote w:id="18">
    <w:p w14:paraId="60950394" w14:textId="000B1054" w:rsidR="00BB198F" w:rsidRPr="00953841" w:rsidRDefault="00BB198F">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National Australia Bank, </w:t>
      </w:r>
      <w:r w:rsidRPr="00953841">
        <w:rPr>
          <w:rFonts w:ascii="Palatino Linotype" w:hAnsi="Palatino Linotype"/>
          <w:i/>
        </w:rPr>
        <w:t>Annual Finance Report 2014</w:t>
      </w:r>
      <w:r w:rsidRPr="00953841">
        <w:rPr>
          <w:rFonts w:ascii="Palatino Linotype" w:hAnsi="Palatino Linotype"/>
        </w:rPr>
        <w:t xml:space="preserve"> (2014) at </w:t>
      </w:r>
      <w:hyperlink r:id="rId14" w:history="1">
        <w:r w:rsidR="00C55F20" w:rsidRPr="00953841">
          <w:rPr>
            <w:rStyle w:val="Hyperlink"/>
            <w:rFonts w:ascii="Palatino Linotype" w:hAnsi="Palatino Linotype"/>
          </w:rPr>
          <w:t>https://www.nab.com.au/content/dam/nab/about-us/shareholder-centre/annual-reports/pdf-reports/2014-annual-financial-report.pdf</w:t>
        </w:r>
      </w:hyperlink>
      <w:r w:rsidR="00C55F20" w:rsidRPr="00953841">
        <w:rPr>
          <w:rFonts w:ascii="Palatino Linotype" w:hAnsi="Palatino Linotype"/>
        </w:rPr>
        <w:t xml:space="preserve">. </w:t>
      </w:r>
    </w:p>
  </w:footnote>
  <w:footnote w:id="19">
    <w:p w14:paraId="372C1E32" w14:textId="2A757CF9" w:rsidR="00F74B3C" w:rsidRPr="00953841" w:rsidRDefault="00F74B3C">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w:t>
      </w:r>
      <w:r w:rsidR="00953841" w:rsidRPr="00953841">
        <w:rPr>
          <w:rFonts w:ascii="Palatino Linotype" w:hAnsi="Palatino Linotype"/>
        </w:rPr>
        <w:t>Above n 10.</w:t>
      </w:r>
    </w:p>
  </w:footnote>
  <w:footnote w:id="20">
    <w:p w14:paraId="5D7F5014" w14:textId="3DE74CD6" w:rsidR="00F74B3C" w:rsidRPr="00953841" w:rsidRDefault="00F74B3C">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w:t>
      </w:r>
      <w:r w:rsidR="00953841" w:rsidRPr="00953841">
        <w:rPr>
          <w:rFonts w:ascii="Palatino Linotype" w:hAnsi="Palatino Linotype"/>
        </w:rPr>
        <w:t>Above n</w:t>
      </w:r>
      <w:r w:rsidRPr="00953841">
        <w:rPr>
          <w:rFonts w:ascii="Palatino Linotype" w:hAnsi="Palatino Linotype"/>
        </w:rPr>
        <w:t xml:space="preserve"> </w:t>
      </w:r>
      <w:r w:rsidR="00953841" w:rsidRPr="00953841">
        <w:rPr>
          <w:rFonts w:ascii="Palatino Linotype" w:hAnsi="Palatino Linotype"/>
        </w:rPr>
        <w:t>8.</w:t>
      </w:r>
    </w:p>
  </w:footnote>
  <w:footnote w:id="21">
    <w:p w14:paraId="1073D38A" w14:textId="303E23BB" w:rsidR="00576E5B" w:rsidRPr="00953841" w:rsidRDefault="00576E5B" w:rsidP="00695D83">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See</w:t>
      </w:r>
      <w:r w:rsidR="00953841" w:rsidRPr="00953841">
        <w:rPr>
          <w:rFonts w:ascii="Palatino Linotype" w:hAnsi="Palatino Linotype"/>
        </w:rPr>
        <w:t>, eg</w:t>
      </w:r>
      <w:r w:rsidRPr="00953841">
        <w:rPr>
          <w:rFonts w:ascii="Palatino Linotype" w:hAnsi="Palatino Linotype"/>
        </w:rPr>
        <w:t xml:space="preserve">, </w:t>
      </w:r>
      <w:proofErr w:type="spellStart"/>
      <w:r w:rsidRPr="00953841">
        <w:rPr>
          <w:rFonts w:ascii="Palatino Linotype" w:hAnsi="Palatino Linotype"/>
        </w:rPr>
        <w:t>Botti</w:t>
      </w:r>
      <w:proofErr w:type="spellEnd"/>
      <w:r w:rsidRPr="00953841">
        <w:rPr>
          <w:rFonts w:ascii="Palatino Linotype" w:hAnsi="Palatino Linotype"/>
        </w:rPr>
        <w:t xml:space="preserve"> and </w:t>
      </w:r>
      <w:proofErr w:type="spellStart"/>
      <w:r w:rsidRPr="00953841">
        <w:rPr>
          <w:rFonts w:ascii="Palatino Linotype" w:hAnsi="Palatino Linotype"/>
        </w:rPr>
        <w:t>Iyengar</w:t>
      </w:r>
      <w:proofErr w:type="spellEnd"/>
      <w:r w:rsidRPr="00953841">
        <w:rPr>
          <w:rFonts w:ascii="Palatino Linotype" w:hAnsi="Palatino Linotype"/>
        </w:rPr>
        <w:t xml:space="preserve">, ‘The Dark Side of Choice: When Choice Impairs Social Welfare’, </w:t>
      </w:r>
      <w:r w:rsidRPr="00953841">
        <w:rPr>
          <w:rFonts w:ascii="Palatino Linotype" w:hAnsi="Palatino Linotype"/>
          <w:i/>
        </w:rPr>
        <w:t xml:space="preserve">Journal of Public Policy and Marketing </w:t>
      </w:r>
      <w:r w:rsidRPr="00953841">
        <w:rPr>
          <w:rFonts w:ascii="Palatino Linotype" w:hAnsi="Palatino Linotype"/>
        </w:rPr>
        <w:t xml:space="preserve">25(1) </w:t>
      </w:r>
      <w:r w:rsidR="00953841" w:rsidRPr="00953841">
        <w:rPr>
          <w:rFonts w:ascii="Palatino Linotype" w:hAnsi="Palatino Linotype"/>
        </w:rPr>
        <w:t>27 (2006).</w:t>
      </w:r>
    </w:p>
  </w:footnote>
  <w:footnote w:id="22">
    <w:p w14:paraId="50294074" w14:textId="625541C3" w:rsidR="00F74B3C" w:rsidRPr="00953841" w:rsidRDefault="00F74B3C">
      <w:pPr>
        <w:pStyle w:val="FootnoteText"/>
        <w:rPr>
          <w:rFonts w:ascii="Palatino Linotype" w:hAnsi="Palatino Linotype"/>
        </w:rPr>
      </w:pPr>
      <w:r w:rsidRPr="00953841">
        <w:rPr>
          <w:rStyle w:val="FootnoteReference"/>
          <w:rFonts w:ascii="Palatino Linotype" w:hAnsi="Palatino Linotype"/>
        </w:rPr>
        <w:footnoteRef/>
      </w:r>
      <w:r w:rsidRPr="00953841">
        <w:rPr>
          <w:rFonts w:ascii="Palatino Linotype" w:hAnsi="Palatino Linotype"/>
        </w:rPr>
        <w:t xml:space="preserve"> 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6C7D12"/>
    <w:multiLevelType w:val="hybridMultilevel"/>
    <w:tmpl w:val="D9762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C3"/>
    <w:rsid w:val="00010CFE"/>
    <w:rsid w:val="00015C55"/>
    <w:rsid w:val="00016109"/>
    <w:rsid w:val="00031F6F"/>
    <w:rsid w:val="00047BBB"/>
    <w:rsid w:val="00050DE5"/>
    <w:rsid w:val="000566EE"/>
    <w:rsid w:val="00062299"/>
    <w:rsid w:val="000838E1"/>
    <w:rsid w:val="000867CC"/>
    <w:rsid w:val="000A3823"/>
    <w:rsid w:val="000B15C3"/>
    <w:rsid w:val="000C5E10"/>
    <w:rsid w:val="000D54CB"/>
    <w:rsid w:val="000F6711"/>
    <w:rsid w:val="00121711"/>
    <w:rsid w:val="00134C5A"/>
    <w:rsid w:val="001D3447"/>
    <w:rsid w:val="001E2F89"/>
    <w:rsid w:val="001E3DAB"/>
    <w:rsid w:val="001F7F2D"/>
    <w:rsid w:val="00211B4C"/>
    <w:rsid w:val="00245044"/>
    <w:rsid w:val="00247A67"/>
    <w:rsid w:val="00254A20"/>
    <w:rsid w:val="0027105C"/>
    <w:rsid w:val="00276DF9"/>
    <w:rsid w:val="0028270E"/>
    <w:rsid w:val="002A7D5F"/>
    <w:rsid w:val="002B3031"/>
    <w:rsid w:val="002D7AED"/>
    <w:rsid w:val="00315705"/>
    <w:rsid w:val="00336631"/>
    <w:rsid w:val="003466C7"/>
    <w:rsid w:val="00350D52"/>
    <w:rsid w:val="003636DD"/>
    <w:rsid w:val="0037592C"/>
    <w:rsid w:val="00376DA5"/>
    <w:rsid w:val="003B12AA"/>
    <w:rsid w:val="003B5792"/>
    <w:rsid w:val="003C6600"/>
    <w:rsid w:val="003E2CC5"/>
    <w:rsid w:val="003E4D33"/>
    <w:rsid w:val="003F5141"/>
    <w:rsid w:val="00423F8D"/>
    <w:rsid w:val="00436823"/>
    <w:rsid w:val="0044789C"/>
    <w:rsid w:val="0046111C"/>
    <w:rsid w:val="004732E1"/>
    <w:rsid w:val="00496567"/>
    <w:rsid w:val="004A03F1"/>
    <w:rsid w:val="004B57DD"/>
    <w:rsid w:val="004D1815"/>
    <w:rsid w:val="004D4450"/>
    <w:rsid w:val="004F4F39"/>
    <w:rsid w:val="004F7C0F"/>
    <w:rsid w:val="00502F1C"/>
    <w:rsid w:val="00503075"/>
    <w:rsid w:val="00512366"/>
    <w:rsid w:val="00512A15"/>
    <w:rsid w:val="00513CC9"/>
    <w:rsid w:val="005223DB"/>
    <w:rsid w:val="00525A82"/>
    <w:rsid w:val="00541C17"/>
    <w:rsid w:val="0054572B"/>
    <w:rsid w:val="0056092F"/>
    <w:rsid w:val="00576E5B"/>
    <w:rsid w:val="005A5493"/>
    <w:rsid w:val="005C39D3"/>
    <w:rsid w:val="005C55C6"/>
    <w:rsid w:val="005E0CB1"/>
    <w:rsid w:val="005F72A6"/>
    <w:rsid w:val="00605746"/>
    <w:rsid w:val="00610C33"/>
    <w:rsid w:val="006210BA"/>
    <w:rsid w:val="00622F51"/>
    <w:rsid w:val="006254F1"/>
    <w:rsid w:val="00671C32"/>
    <w:rsid w:val="006809B5"/>
    <w:rsid w:val="0068120D"/>
    <w:rsid w:val="00681A15"/>
    <w:rsid w:val="00695D83"/>
    <w:rsid w:val="006D7DE4"/>
    <w:rsid w:val="006F254D"/>
    <w:rsid w:val="006F49FC"/>
    <w:rsid w:val="0072032D"/>
    <w:rsid w:val="0074349B"/>
    <w:rsid w:val="007472E7"/>
    <w:rsid w:val="007517EC"/>
    <w:rsid w:val="00766074"/>
    <w:rsid w:val="0077018F"/>
    <w:rsid w:val="00795BB8"/>
    <w:rsid w:val="007E18C3"/>
    <w:rsid w:val="00846A21"/>
    <w:rsid w:val="0086082C"/>
    <w:rsid w:val="0086254C"/>
    <w:rsid w:val="00872996"/>
    <w:rsid w:val="00875EA8"/>
    <w:rsid w:val="00887BAE"/>
    <w:rsid w:val="008913BC"/>
    <w:rsid w:val="008C09E8"/>
    <w:rsid w:val="008D619E"/>
    <w:rsid w:val="00921DA2"/>
    <w:rsid w:val="00922692"/>
    <w:rsid w:val="00934ED1"/>
    <w:rsid w:val="00953841"/>
    <w:rsid w:val="00965526"/>
    <w:rsid w:val="00967888"/>
    <w:rsid w:val="0098158B"/>
    <w:rsid w:val="009A61AB"/>
    <w:rsid w:val="009C3B15"/>
    <w:rsid w:val="009C60FD"/>
    <w:rsid w:val="009D52E1"/>
    <w:rsid w:val="009D72EE"/>
    <w:rsid w:val="009E66F2"/>
    <w:rsid w:val="00A10F09"/>
    <w:rsid w:val="00A34BB4"/>
    <w:rsid w:val="00A44593"/>
    <w:rsid w:val="00A80DC8"/>
    <w:rsid w:val="00A843A2"/>
    <w:rsid w:val="00A90272"/>
    <w:rsid w:val="00AE70A8"/>
    <w:rsid w:val="00AF57D5"/>
    <w:rsid w:val="00B14959"/>
    <w:rsid w:val="00B16225"/>
    <w:rsid w:val="00B576C2"/>
    <w:rsid w:val="00B76D6D"/>
    <w:rsid w:val="00BB198F"/>
    <w:rsid w:val="00BC296E"/>
    <w:rsid w:val="00C16FD5"/>
    <w:rsid w:val="00C4286C"/>
    <w:rsid w:val="00C55F20"/>
    <w:rsid w:val="00C72015"/>
    <w:rsid w:val="00C75D7E"/>
    <w:rsid w:val="00C763F2"/>
    <w:rsid w:val="00CA5838"/>
    <w:rsid w:val="00CA6EA2"/>
    <w:rsid w:val="00CB154F"/>
    <w:rsid w:val="00CD4251"/>
    <w:rsid w:val="00CD7DC0"/>
    <w:rsid w:val="00CE1258"/>
    <w:rsid w:val="00CF11FF"/>
    <w:rsid w:val="00D17D7A"/>
    <w:rsid w:val="00D37673"/>
    <w:rsid w:val="00D409DD"/>
    <w:rsid w:val="00D52B83"/>
    <w:rsid w:val="00D61560"/>
    <w:rsid w:val="00D66585"/>
    <w:rsid w:val="00D8165E"/>
    <w:rsid w:val="00D95C02"/>
    <w:rsid w:val="00DB3112"/>
    <w:rsid w:val="00DB4CC8"/>
    <w:rsid w:val="00DE20AE"/>
    <w:rsid w:val="00DE3AC4"/>
    <w:rsid w:val="00DE6C80"/>
    <w:rsid w:val="00DF3D8B"/>
    <w:rsid w:val="00E12840"/>
    <w:rsid w:val="00E51F0E"/>
    <w:rsid w:val="00E568BF"/>
    <w:rsid w:val="00E63A51"/>
    <w:rsid w:val="00E721E6"/>
    <w:rsid w:val="00E751F5"/>
    <w:rsid w:val="00E8159B"/>
    <w:rsid w:val="00E97FD1"/>
    <w:rsid w:val="00ED1FCE"/>
    <w:rsid w:val="00EE3030"/>
    <w:rsid w:val="00EE3807"/>
    <w:rsid w:val="00EE60C5"/>
    <w:rsid w:val="00EF1DEA"/>
    <w:rsid w:val="00F1198A"/>
    <w:rsid w:val="00F12B9F"/>
    <w:rsid w:val="00F16EB5"/>
    <w:rsid w:val="00F42936"/>
    <w:rsid w:val="00F6502A"/>
    <w:rsid w:val="00F72C73"/>
    <w:rsid w:val="00F74B3C"/>
    <w:rsid w:val="00FA7A8E"/>
    <w:rsid w:val="00FD50BB"/>
    <w:rsid w:val="00FD59C1"/>
    <w:rsid w:val="00FE3E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F95753F"/>
  <w15:chartTrackingRefBased/>
  <w15:docId w15:val="{D0EC1CBC-769F-4DC5-A9DE-60B2F524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6F2"/>
  </w:style>
  <w:style w:type="paragraph" w:styleId="Heading1">
    <w:name w:val="heading 1"/>
    <w:basedOn w:val="Normal"/>
    <w:next w:val="Normal"/>
    <w:link w:val="Heading1Char"/>
    <w:uiPriority w:val="9"/>
    <w:qFormat/>
    <w:rsid w:val="00010C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15C3"/>
    <w:pPr>
      <w:ind w:left="720"/>
      <w:contextualSpacing/>
    </w:pPr>
  </w:style>
  <w:style w:type="paragraph" w:styleId="NormalWeb">
    <w:name w:val="Normal (Web)"/>
    <w:basedOn w:val="Normal"/>
    <w:uiPriority w:val="99"/>
    <w:unhideWhenUsed/>
    <w:rsid w:val="005F72A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F72A6"/>
    <w:rPr>
      <w:b/>
      <w:bCs/>
    </w:rPr>
  </w:style>
  <w:style w:type="character" w:customStyle="1" w:styleId="apple-converted-space">
    <w:name w:val="apple-converted-space"/>
    <w:basedOn w:val="DefaultParagraphFont"/>
    <w:rsid w:val="005F72A6"/>
  </w:style>
  <w:style w:type="character" w:styleId="Hyperlink">
    <w:name w:val="Hyperlink"/>
    <w:basedOn w:val="DefaultParagraphFont"/>
    <w:uiPriority w:val="99"/>
    <w:unhideWhenUsed/>
    <w:rsid w:val="005F72A6"/>
    <w:rPr>
      <w:color w:val="0000FF"/>
      <w:u w:val="single"/>
    </w:rPr>
  </w:style>
  <w:style w:type="character" w:styleId="Emphasis">
    <w:name w:val="Emphasis"/>
    <w:basedOn w:val="DefaultParagraphFont"/>
    <w:uiPriority w:val="20"/>
    <w:qFormat/>
    <w:rsid w:val="005F72A6"/>
    <w:rPr>
      <w:i/>
      <w:iCs/>
    </w:rPr>
  </w:style>
  <w:style w:type="paragraph" w:customStyle="1" w:styleId="Default">
    <w:name w:val="Default"/>
    <w:rsid w:val="002A7D5F"/>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2A7D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D5F"/>
    <w:rPr>
      <w:sz w:val="20"/>
      <w:szCs w:val="20"/>
    </w:rPr>
  </w:style>
  <w:style w:type="character" w:styleId="FootnoteReference">
    <w:name w:val="footnote reference"/>
    <w:basedOn w:val="DefaultParagraphFont"/>
    <w:uiPriority w:val="99"/>
    <w:semiHidden/>
    <w:unhideWhenUsed/>
    <w:rsid w:val="002A7D5F"/>
    <w:rPr>
      <w:vertAlign w:val="superscript"/>
    </w:rPr>
  </w:style>
  <w:style w:type="paragraph" w:styleId="BalloonText">
    <w:name w:val="Balloon Text"/>
    <w:basedOn w:val="Normal"/>
    <w:link w:val="BalloonTextChar"/>
    <w:uiPriority w:val="99"/>
    <w:semiHidden/>
    <w:unhideWhenUsed/>
    <w:rsid w:val="00512A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A15"/>
    <w:rPr>
      <w:rFonts w:ascii="Segoe UI" w:hAnsi="Segoe UI" w:cs="Segoe UI"/>
      <w:sz w:val="18"/>
      <w:szCs w:val="18"/>
    </w:rPr>
  </w:style>
  <w:style w:type="character" w:styleId="CommentReference">
    <w:name w:val="annotation reference"/>
    <w:basedOn w:val="DefaultParagraphFont"/>
    <w:uiPriority w:val="99"/>
    <w:semiHidden/>
    <w:unhideWhenUsed/>
    <w:rsid w:val="00766074"/>
    <w:rPr>
      <w:sz w:val="16"/>
      <w:szCs w:val="16"/>
    </w:rPr>
  </w:style>
  <w:style w:type="paragraph" w:styleId="CommentText">
    <w:name w:val="annotation text"/>
    <w:basedOn w:val="Normal"/>
    <w:link w:val="CommentTextChar"/>
    <w:uiPriority w:val="99"/>
    <w:semiHidden/>
    <w:unhideWhenUsed/>
    <w:rsid w:val="00766074"/>
    <w:pPr>
      <w:spacing w:line="240" w:lineRule="auto"/>
    </w:pPr>
    <w:rPr>
      <w:sz w:val="20"/>
      <w:szCs w:val="20"/>
    </w:rPr>
  </w:style>
  <w:style w:type="character" w:customStyle="1" w:styleId="CommentTextChar">
    <w:name w:val="Comment Text Char"/>
    <w:basedOn w:val="DefaultParagraphFont"/>
    <w:link w:val="CommentText"/>
    <w:uiPriority w:val="99"/>
    <w:semiHidden/>
    <w:rsid w:val="00766074"/>
    <w:rPr>
      <w:sz w:val="20"/>
      <w:szCs w:val="20"/>
    </w:rPr>
  </w:style>
  <w:style w:type="paragraph" w:styleId="CommentSubject">
    <w:name w:val="annotation subject"/>
    <w:basedOn w:val="CommentText"/>
    <w:next w:val="CommentText"/>
    <w:link w:val="CommentSubjectChar"/>
    <w:uiPriority w:val="99"/>
    <w:semiHidden/>
    <w:unhideWhenUsed/>
    <w:rsid w:val="00766074"/>
    <w:rPr>
      <w:b/>
      <w:bCs/>
    </w:rPr>
  </w:style>
  <w:style w:type="character" w:customStyle="1" w:styleId="CommentSubjectChar">
    <w:name w:val="Comment Subject Char"/>
    <w:basedOn w:val="CommentTextChar"/>
    <w:link w:val="CommentSubject"/>
    <w:uiPriority w:val="99"/>
    <w:semiHidden/>
    <w:rsid w:val="00766074"/>
    <w:rPr>
      <w:b/>
      <w:bCs/>
      <w:sz w:val="20"/>
      <w:szCs w:val="20"/>
    </w:rPr>
  </w:style>
  <w:style w:type="character" w:styleId="FollowedHyperlink">
    <w:name w:val="FollowedHyperlink"/>
    <w:basedOn w:val="DefaultParagraphFont"/>
    <w:uiPriority w:val="99"/>
    <w:semiHidden/>
    <w:unhideWhenUsed/>
    <w:rsid w:val="003C6600"/>
    <w:rPr>
      <w:color w:val="954F72" w:themeColor="followedHyperlink"/>
      <w:u w:val="single"/>
    </w:rPr>
  </w:style>
  <w:style w:type="character" w:customStyle="1" w:styleId="Heading1Char">
    <w:name w:val="Heading 1 Char"/>
    <w:basedOn w:val="DefaultParagraphFont"/>
    <w:link w:val="Heading1"/>
    <w:uiPriority w:val="9"/>
    <w:rsid w:val="00010CF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9D72EE"/>
    <w:pPr>
      <w:spacing w:after="0" w:line="240" w:lineRule="auto"/>
      <w:contextualSpacing/>
    </w:pPr>
    <w:rPr>
      <w:rFonts w:asciiTheme="majorHAnsi" w:eastAsiaTheme="majorEastAsia" w:hAnsiTheme="majorHAnsi" w:cstheme="majorBidi"/>
      <w:spacing w:val="-10"/>
      <w:kern w:val="28"/>
      <w:sz w:val="56"/>
      <w:szCs w:val="56"/>
      <w:lang w:eastAsia="en-AU"/>
    </w:rPr>
  </w:style>
  <w:style w:type="character" w:customStyle="1" w:styleId="TitleChar">
    <w:name w:val="Title Char"/>
    <w:basedOn w:val="DefaultParagraphFont"/>
    <w:link w:val="Title"/>
    <w:uiPriority w:val="10"/>
    <w:rsid w:val="009D72EE"/>
    <w:rPr>
      <w:rFonts w:asciiTheme="majorHAnsi" w:eastAsiaTheme="majorEastAsia" w:hAnsiTheme="majorHAnsi" w:cstheme="majorBidi"/>
      <w:spacing w:val="-10"/>
      <w:kern w:val="28"/>
      <w:sz w:val="56"/>
      <w:szCs w:val="56"/>
      <w:lang w:eastAsia="en-AU"/>
    </w:rPr>
  </w:style>
  <w:style w:type="paragraph" w:styleId="NoSpacing">
    <w:name w:val="No Spacing"/>
    <w:uiPriority w:val="1"/>
    <w:qFormat/>
    <w:rsid w:val="009D72EE"/>
    <w:pPr>
      <w:spacing w:after="0" w:line="240" w:lineRule="auto"/>
    </w:pPr>
  </w:style>
  <w:style w:type="paragraph" w:styleId="TOCHeading">
    <w:name w:val="TOC Heading"/>
    <w:basedOn w:val="Heading1"/>
    <w:next w:val="Normal"/>
    <w:uiPriority w:val="39"/>
    <w:unhideWhenUsed/>
    <w:qFormat/>
    <w:rsid w:val="009D72EE"/>
    <w:pPr>
      <w:outlineLvl w:val="9"/>
    </w:pPr>
    <w:rPr>
      <w:lang w:val="en-US"/>
    </w:rPr>
  </w:style>
  <w:style w:type="paragraph" w:styleId="TOC1">
    <w:name w:val="toc 1"/>
    <w:basedOn w:val="Normal"/>
    <w:next w:val="Normal"/>
    <w:autoRedefine/>
    <w:uiPriority w:val="39"/>
    <w:unhideWhenUsed/>
    <w:rsid w:val="009D72EE"/>
    <w:pPr>
      <w:spacing w:after="100" w:line="276" w:lineRule="auto"/>
    </w:pPr>
    <w:rPr>
      <w:rFonts w:eastAsiaTheme="minorEastAsia"/>
      <w:lang w:eastAsia="en-AU"/>
    </w:rPr>
  </w:style>
  <w:style w:type="paragraph" w:styleId="TOC2">
    <w:name w:val="toc 2"/>
    <w:basedOn w:val="Normal"/>
    <w:next w:val="Normal"/>
    <w:autoRedefine/>
    <w:uiPriority w:val="39"/>
    <w:unhideWhenUsed/>
    <w:rsid w:val="009D72EE"/>
    <w:pPr>
      <w:spacing w:after="100" w:line="276" w:lineRule="auto"/>
      <w:ind w:left="22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335603">
      <w:bodyDiv w:val="1"/>
      <w:marLeft w:val="0"/>
      <w:marRight w:val="0"/>
      <w:marTop w:val="0"/>
      <w:marBottom w:val="0"/>
      <w:divBdr>
        <w:top w:val="none" w:sz="0" w:space="0" w:color="auto"/>
        <w:left w:val="none" w:sz="0" w:space="0" w:color="auto"/>
        <w:bottom w:val="none" w:sz="0" w:space="0" w:color="auto"/>
        <w:right w:val="none" w:sz="0" w:space="0" w:color="auto"/>
      </w:divBdr>
    </w:div>
    <w:div w:id="953824806">
      <w:bodyDiv w:val="1"/>
      <w:marLeft w:val="0"/>
      <w:marRight w:val="0"/>
      <w:marTop w:val="0"/>
      <w:marBottom w:val="0"/>
      <w:divBdr>
        <w:top w:val="none" w:sz="0" w:space="0" w:color="auto"/>
        <w:left w:val="none" w:sz="0" w:space="0" w:color="auto"/>
        <w:bottom w:val="none" w:sz="0" w:space="0" w:color="auto"/>
        <w:right w:val="none" w:sz="0" w:space="0" w:color="auto"/>
      </w:divBdr>
    </w:div>
    <w:div w:id="1087387369">
      <w:bodyDiv w:val="1"/>
      <w:marLeft w:val="0"/>
      <w:marRight w:val="0"/>
      <w:marTop w:val="0"/>
      <w:marBottom w:val="0"/>
      <w:divBdr>
        <w:top w:val="none" w:sz="0" w:space="0" w:color="auto"/>
        <w:left w:val="none" w:sz="0" w:space="0" w:color="auto"/>
        <w:bottom w:val="none" w:sz="0" w:space="0" w:color="auto"/>
        <w:right w:val="none" w:sz="0" w:space="0" w:color="auto"/>
      </w:divBdr>
      <w:divsChild>
        <w:div w:id="1693804880">
          <w:marLeft w:val="0"/>
          <w:marRight w:val="0"/>
          <w:marTop w:val="0"/>
          <w:marBottom w:val="120"/>
          <w:divBdr>
            <w:top w:val="none" w:sz="0" w:space="0" w:color="auto"/>
            <w:left w:val="none" w:sz="0" w:space="0" w:color="auto"/>
            <w:bottom w:val="none" w:sz="0" w:space="0" w:color="auto"/>
            <w:right w:val="none" w:sz="0" w:space="0" w:color="auto"/>
          </w:divBdr>
        </w:div>
      </w:divsChild>
    </w:div>
    <w:div w:id="2117286281">
      <w:bodyDiv w:val="1"/>
      <w:marLeft w:val="0"/>
      <w:marRight w:val="0"/>
      <w:marTop w:val="0"/>
      <w:marBottom w:val="0"/>
      <w:divBdr>
        <w:top w:val="none" w:sz="0" w:space="0" w:color="auto"/>
        <w:left w:val="none" w:sz="0" w:space="0" w:color="auto"/>
        <w:bottom w:val="none" w:sz="0" w:space="0" w:color="auto"/>
        <w:right w:val="none" w:sz="0" w:space="0" w:color="auto"/>
      </w:divBdr>
      <w:divsChild>
        <w:div w:id="14597441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vinnies.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ba.gov.au/payments-system/reforms/review-of-card-payments-regulation/review-of-card-payments-regulation-issues-paper.html" TargetMode="External"/><Relationship Id="rId13" Type="http://schemas.openxmlformats.org/officeDocument/2006/relationships/hyperlink" Target="http://www.westpac.com.au/docs/pdf/aw/ic/2014WestpacGroupAnnualReport.pdf" TargetMode="External"/><Relationship Id="rId3" Type="http://schemas.openxmlformats.org/officeDocument/2006/relationships/hyperlink" Target="http://www.rba.gov.au/publications/rdp/2009/pdf/rdp2009-04.pdf" TargetMode="External"/><Relationship Id="rId7" Type="http://schemas.openxmlformats.org/officeDocument/2006/relationships/hyperlink" Target="http://www.tai.org.au/node/1650" TargetMode="External"/><Relationship Id="rId12" Type="http://schemas.openxmlformats.org/officeDocument/2006/relationships/hyperlink" Target="https://www.commbank.com.au/about-us/shareholders/financial-information/2014-results.html" TargetMode="External"/><Relationship Id="rId2" Type="http://schemas.openxmlformats.org/officeDocument/2006/relationships/hyperlink" Target="http://www.abs.gov.au/ausstats/abs@.nsf/Lookup/4102.0main+features402014" TargetMode="External"/><Relationship Id="rId1" Type="http://schemas.openxmlformats.org/officeDocument/2006/relationships/hyperlink" Target="http://www.acoss.org.au/images/uploads/COSS_Network_Payment_Adequacy_Report.pdf" TargetMode="External"/><Relationship Id="rId6" Type="http://schemas.openxmlformats.org/officeDocument/2006/relationships/hyperlink" Target="http://www.abc.net.au/news/2015-05-08/australian-bank-profits-in-pictures/6454428" TargetMode="External"/><Relationship Id="rId11" Type="http://schemas.openxmlformats.org/officeDocument/2006/relationships/hyperlink" Target="https://www.shareholder.anz.com/sites/default/files/2014-ANZ-Annual-Report.pdf" TargetMode="External"/><Relationship Id="rId5" Type="http://schemas.openxmlformats.org/officeDocument/2006/relationships/hyperlink" Target="http://www.abs.gov.au/ausstats/abs@.nsf/mf/6265.0" TargetMode="External"/><Relationship Id="rId10" Type="http://schemas.openxmlformats.org/officeDocument/2006/relationships/hyperlink" Target="http://www.vinnies.org.au/content/Document/RPI_Summary_Report_Aus_Dec_2012%20(21%20August%202013).pdf" TargetMode="External"/><Relationship Id="rId4" Type="http://schemas.openxmlformats.org/officeDocument/2006/relationships/hyperlink" Target="mailto:abs.gov.au/ausstats%5Cabs@.nsf/mediareleasesbyCatalogue/46DFE12FCDB783D9CA256B740082AA6C" TargetMode="External"/><Relationship Id="rId9" Type="http://schemas.openxmlformats.org/officeDocument/2006/relationships/hyperlink" Target="http://www.abs.gov.au/ausstats/abs@.nsf/Lookup/4102.0main+features402014" TargetMode="External"/><Relationship Id="rId14" Type="http://schemas.openxmlformats.org/officeDocument/2006/relationships/hyperlink" Target="https://www.nab.com.au/content/dam/nab/about-us/shareholder-centre/annual-reports/pdf-reports/2014-annual-financia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01095-A78B-48AE-8E7B-9629739F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dc:creator>
  <cp:keywords/>
  <dc:description/>
  <cp:lastModifiedBy>scribepj</cp:lastModifiedBy>
  <cp:revision>2</cp:revision>
  <cp:lastPrinted>2015-08-04T02:13:00Z</cp:lastPrinted>
  <dcterms:created xsi:type="dcterms:W3CDTF">2017-04-24T04:48:00Z</dcterms:created>
  <dcterms:modified xsi:type="dcterms:W3CDTF">2017-04-24T04:48:00Z</dcterms:modified>
</cp:coreProperties>
</file>