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2F" w:rsidRPr="0055079F" w:rsidRDefault="004C672F" w:rsidP="004C672F">
      <w:pPr>
        <w:pStyle w:val="NormalWeb"/>
        <w:spacing w:before="150" w:beforeAutospacing="0" w:after="0" w:afterAutospacing="0"/>
        <w:ind w:left="405" w:hanging="405"/>
        <w:rPr>
          <w:rFonts w:ascii="Arial Narrow" w:hAnsi="Arial Narrow"/>
          <w:sz w:val="34"/>
          <w:szCs w:val="34"/>
        </w:rPr>
      </w:pPr>
      <w:r w:rsidRPr="0055079F">
        <w:rPr>
          <w:rFonts w:ascii="Arial Narrow" w:hAnsi="Arial Narrow" w:cs="Arial"/>
          <w:b/>
          <w:bCs/>
          <w:color w:val="232323"/>
          <w:sz w:val="34"/>
          <w:szCs w:val="34"/>
        </w:rPr>
        <w:t xml:space="preserve">*    </w:t>
      </w:r>
      <w:r w:rsidRPr="0055079F">
        <w:rPr>
          <w:rFonts w:ascii="Arial Narrow" w:hAnsi="Arial Narrow" w:cs="Arial"/>
          <w:b/>
          <w:bCs/>
          <w:sz w:val="34"/>
          <w:szCs w:val="34"/>
        </w:rPr>
        <w:t>Section 51(i) and Section 98 of the Australian Constitution behoove the Commonwealth Govt to enact legislation to '</w:t>
      </w:r>
      <w:proofErr w:type="spellStart"/>
      <w:r w:rsidRPr="0055079F">
        <w:rPr>
          <w:rFonts w:ascii="Arial Narrow" w:hAnsi="Arial Narrow" w:cs="Arial"/>
          <w:b/>
          <w:bCs/>
          <w:sz w:val="34"/>
          <w:szCs w:val="34"/>
        </w:rPr>
        <w:t>Centralise</w:t>
      </w:r>
      <w:proofErr w:type="spellEnd"/>
      <w:r w:rsidRPr="0055079F">
        <w:rPr>
          <w:rFonts w:ascii="Arial Narrow" w:hAnsi="Arial Narrow" w:cs="Arial"/>
          <w:b/>
          <w:bCs/>
          <w:sz w:val="34"/>
          <w:szCs w:val="34"/>
        </w:rPr>
        <w:t xml:space="preserve">' responsibility upon the most skilled Commonwealth Govt agency at evaluating </w:t>
      </w:r>
      <w:r w:rsidRPr="0055079F">
        <w:rPr>
          <w:rFonts w:ascii="Arial Narrow" w:hAnsi="Arial Narrow" w:cs="Arial"/>
          <w:b/>
          <w:bCs/>
          <w:i/>
          <w:iCs/>
          <w:sz w:val="34"/>
          <w:szCs w:val="34"/>
        </w:rPr>
        <w:t>'what are and what are not cost-effective rail infrastructure projects'</w:t>
      </w:r>
      <w:r w:rsidRPr="0055079F">
        <w:rPr>
          <w:rFonts w:ascii="Arial Narrow" w:hAnsi="Arial Narrow" w:cs="Arial"/>
          <w:b/>
          <w:bCs/>
          <w:sz w:val="34"/>
          <w:szCs w:val="34"/>
        </w:rPr>
        <w:t xml:space="preserve">, by legislating that the six States must submit (to the Productivity Commission in ample time prior to Financial Close) a Conforming Cost-Benefit Analysis for all proposed rail infrastructure projects with forecast </w:t>
      </w:r>
      <w:r w:rsidRPr="0055079F">
        <w:rPr>
          <w:rFonts w:ascii="Arial Narrow" w:hAnsi="Arial Narrow" w:cs="Arial"/>
          <w:b/>
          <w:bCs/>
          <w:i/>
          <w:iCs/>
          <w:sz w:val="34"/>
          <w:szCs w:val="34"/>
        </w:rPr>
        <w:t>Capex</w:t>
      </w:r>
      <w:r w:rsidRPr="0055079F">
        <w:rPr>
          <w:rFonts w:ascii="Arial Narrow" w:hAnsi="Arial Narrow" w:cs="Arial"/>
          <w:b/>
          <w:bCs/>
          <w:sz w:val="34"/>
          <w:szCs w:val="34"/>
        </w:rPr>
        <w:t xml:space="preserve"> that exceeds $20,000,000</w:t>
      </w:r>
      <w:r w:rsidRPr="0055079F">
        <w:rPr>
          <w:rFonts w:ascii="Arial Narrow" w:hAnsi="Arial Narrow" w:cs="Arial"/>
          <w:sz w:val="34"/>
          <w:szCs w:val="34"/>
        </w:rPr>
        <w:t> </w:t>
      </w:r>
    </w:p>
    <w:p w:rsidR="004C672F" w:rsidRPr="0055079F" w:rsidRDefault="004C672F" w:rsidP="004C672F">
      <w:pPr>
        <w:pStyle w:val="NormalWeb"/>
        <w:spacing w:before="0" w:beforeAutospacing="0" w:after="0" w:afterAutospacing="0"/>
        <w:ind w:left="405" w:hanging="405"/>
        <w:rPr>
          <w:rFonts w:ascii="Arial Narrow" w:hAnsi="Arial Narrow"/>
          <w:sz w:val="34"/>
          <w:szCs w:val="34"/>
        </w:rPr>
      </w:pPr>
      <w:r w:rsidRPr="0055079F">
        <w:rPr>
          <w:rFonts w:ascii="Arial Narrow" w:hAnsi="Arial Narrow" w:cs="Arial"/>
          <w:b/>
          <w:bCs/>
          <w:sz w:val="34"/>
          <w:szCs w:val="34"/>
        </w:rPr>
        <w:t xml:space="preserve">*    For those rail infrastructure projects over $100,000,000 </w:t>
      </w:r>
      <w:r w:rsidRPr="0055079F">
        <w:rPr>
          <w:rFonts w:ascii="Arial Narrow" w:hAnsi="Arial Narrow" w:cs="Arial"/>
          <w:b/>
          <w:bCs/>
          <w:i/>
          <w:iCs/>
          <w:sz w:val="34"/>
          <w:szCs w:val="34"/>
        </w:rPr>
        <w:t>Capex</w:t>
      </w:r>
      <w:r w:rsidRPr="0055079F">
        <w:rPr>
          <w:rFonts w:ascii="Arial Narrow" w:hAnsi="Arial Narrow" w:cs="Arial"/>
          <w:b/>
          <w:bCs/>
          <w:sz w:val="34"/>
          <w:szCs w:val="34"/>
        </w:rPr>
        <w:t>,</w:t>
      </w:r>
      <w:r w:rsidRPr="0055079F">
        <w:rPr>
          <w:rFonts w:ascii="Arial Narrow" w:hAnsi="Arial Narrow" w:cs="Arial"/>
          <w:sz w:val="34"/>
          <w:szCs w:val="34"/>
        </w:rPr>
        <w:t xml:space="preserve"> </w:t>
      </w:r>
      <w:r w:rsidRPr="0055079F">
        <w:rPr>
          <w:rFonts w:ascii="Arial Narrow" w:hAnsi="Arial Narrow" w:cs="Arial"/>
          <w:b/>
          <w:bCs/>
          <w:sz w:val="34"/>
          <w:szCs w:val="34"/>
        </w:rPr>
        <w:t>the Productivity Commission</w:t>
      </w:r>
      <w:r w:rsidRPr="0055079F">
        <w:rPr>
          <w:rFonts w:ascii="Arial Narrow" w:hAnsi="Arial Narrow" w:cs="Arial"/>
          <w:sz w:val="34"/>
          <w:szCs w:val="34"/>
        </w:rPr>
        <w:t xml:space="preserve"> </w:t>
      </w:r>
      <w:r w:rsidRPr="0055079F">
        <w:rPr>
          <w:rFonts w:ascii="Arial Narrow" w:hAnsi="Arial Narrow" w:cs="Arial"/>
          <w:b/>
          <w:bCs/>
          <w:sz w:val="34"/>
          <w:szCs w:val="34"/>
        </w:rPr>
        <w:t xml:space="preserve">would, </w:t>
      </w:r>
      <w:r w:rsidRPr="0055079F">
        <w:rPr>
          <w:rFonts w:ascii="Arial Narrow" w:hAnsi="Arial Narrow" w:cs="Arial"/>
          <w:b/>
          <w:bCs/>
          <w:i/>
          <w:iCs/>
          <w:sz w:val="34"/>
          <w:szCs w:val="34"/>
        </w:rPr>
        <w:t>at arm's length,</w:t>
      </w:r>
      <w:r w:rsidRPr="0055079F">
        <w:rPr>
          <w:rFonts w:ascii="Arial Narrow" w:hAnsi="Arial Narrow" w:cs="Arial"/>
          <w:b/>
          <w:bCs/>
          <w:sz w:val="34"/>
          <w:szCs w:val="34"/>
        </w:rPr>
        <w:t xml:space="preserve"> allocate a score out of 100 points on the pertinent Conforming Cost-Benefit Analysis</w:t>
      </w:r>
      <w:r w:rsidRPr="0055079F">
        <w:rPr>
          <w:rFonts w:ascii="Arial Narrow" w:hAnsi="Arial Narrow" w:cs="Arial"/>
          <w:b/>
          <w:bCs/>
          <w:color w:val="232323"/>
          <w:sz w:val="34"/>
          <w:szCs w:val="34"/>
        </w:rPr>
        <w:t xml:space="preserve"> </w:t>
      </w:r>
      <w:r w:rsidRPr="0055079F">
        <w:rPr>
          <w:rFonts w:ascii="Arial Narrow" w:hAnsi="Arial Narrow" w:cs="Arial"/>
          <w:b/>
          <w:bCs/>
          <w:sz w:val="34"/>
          <w:szCs w:val="34"/>
        </w:rPr>
        <w:t>based on the Nine Steps of Cost-Benefit Analysis</w:t>
      </w:r>
      <w:r w:rsidRPr="0055079F">
        <w:rPr>
          <w:rFonts w:ascii="Arial Narrow" w:hAnsi="Arial Narrow" w:cs="Arial"/>
          <w:sz w:val="34"/>
          <w:szCs w:val="34"/>
        </w:rPr>
        <w:t> </w:t>
      </w:r>
    </w:p>
    <w:p w:rsidR="004C672F" w:rsidRDefault="004C672F" w:rsidP="004C672F">
      <w:pPr>
        <w:pStyle w:val="NormalWeb"/>
        <w:spacing w:before="0" w:beforeAutospacing="0" w:after="0" w:afterAutospacing="0"/>
        <w:ind w:left="405" w:hanging="405"/>
        <w:rPr>
          <w:rFonts w:ascii="Arial Narrow" w:hAnsi="Arial Narrow" w:cs="Arial"/>
          <w:b/>
          <w:bCs/>
          <w:i/>
          <w:iCs/>
          <w:sz w:val="28"/>
          <w:szCs w:val="28"/>
          <w:shd w:val="clear" w:color="auto" w:fill="FFFFFF"/>
        </w:rPr>
      </w:pPr>
      <w:r w:rsidRPr="0055079F">
        <w:rPr>
          <w:rFonts w:ascii="Arial Narrow" w:hAnsi="Arial Narrow" w:cs="Arial"/>
          <w:b/>
          <w:bCs/>
          <w:color w:val="232323"/>
          <w:sz w:val="34"/>
          <w:szCs w:val="34"/>
        </w:rPr>
        <w:t xml:space="preserve">*    In 2009 the Productivity Commission offered to perform the above two responsibilities </w:t>
      </w:r>
      <w:r w:rsidRPr="0055079F">
        <w:rPr>
          <w:rFonts w:ascii="Arial Narrow" w:hAnsi="Arial Narrow" w:cs="Arial"/>
          <w:b/>
          <w:bCs/>
          <w:i/>
          <w:iCs/>
          <w:color w:val="232323"/>
          <w:sz w:val="34"/>
          <w:szCs w:val="34"/>
        </w:rPr>
        <w:t xml:space="preserve">"to be </w:t>
      </w:r>
      <w:r w:rsidRPr="0055079F">
        <w:rPr>
          <w:rFonts w:ascii="Arial Narrow" w:hAnsi="Arial Narrow" w:cs="Arial"/>
          <w:b/>
          <w:bCs/>
          <w:i/>
          <w:iCs/>
          <w:sz w:val="34"/>
          <w:szCs w:val="34"/>
          <w:shd w:val="clear" w:color="auto" w:fill="FFFFFF"/>
        </w:rPr>
        <w:t>a centre of excellence for cost–benefit analysis within the Australian Government"</w:t>
      </w:r>
    </w:p>
    <w:p w:rsidR="004C672F" w:rsidRDefault="004C672F" w:rsidP="004C672F">
      <w:pPr>
        <w:pStyle w:val="NormalWeb"/>
        <w:spacing w:before="0" w:beforeAutospacing="0" w:after="0" w:afterAutospacing="0"/>
        <w:ind w:left="405" w:hanging="405"/>
        <w:rPr>
          <w:rFonts w:ascii="Arial Narrow" w:hAnsi="Arial Narrow"/>
          <w:sz w:val="28"/>
          <w:szCs w:val="28"/>
        </w:rPr>
      </w:pPr>
    </w:p>
    <w:p w:rsidR="000D3943" w:rsidRDefault="000D3943" w:rsidP="004C672F">
      <w:pPr>
        <w:pStyle w:val="NormalWeb"/>
        <w:spacing w:before="0" w:beforeAutospacing="0" w:after="0" w:afterAutospacing="0"/>
        <w:ind w:left="405" w:hanging="405"/>
        <w:rPr>
          <w:rFonts w:ascii="Arial Narrow" w:hAnsi="Arial Narrow"/>
          <w:sz w:val="28"/>
          <w:szCs w:val="28"/>
        </w:rPr>
      </w:pPr>
    </w:p>
    <w:p w:rsidR="000D3943" w:rsidRPr="000D3943" w:rsidRDefault="000D3943" w:rsidP="004C672F">
      <w:pPr>
        <w:pStyle w:val="NormalWeb"/>
        <w:spacing w:before="0" w:beforeAutospacing="0" w:after="0" w:afterAutospacing="0"/>
        <w:ind w:left="405" w:hanging="405"/>
        <w:rPr>
          <w:rFonts w:ascii="Arial" w:hAnsi="Arial" w:cs="Arial"/>
          <w:sz w:val="28"/>
          <w:szCs w:val="28"/>
        </w:rPr>
      </w:pPr>
      <w:bookmarkStart w:id="0" w:name="_GoBack"/>
      <w:r w:rsidRPr="000D3943">
        <w:rPr>
          <w:rFonts w:ascii="Arial" w:hAnsi="Arial" w:cs="Arial"/>
          <w:sz w:val="28"/>
          <w:szCs w:val="28"/>
          <w:lang w:val="en-AU"/>
        </w:rPr>
        <w:t xml:space="preserve">Centralise responsibility for evaluating </w:t>
      </w:r>
      <w:r w:rsidR="00171995">
        <w:rPr>
          <w:rFonts w:ascii="Arial" w:hAnsi="Arial" w:cs="Arial"/>
          <w:sz w:val="28"/>
          <w:szCs w:val="28"/>
          <w:lang w:val="en-AU"/>
        </w:rPr>
        <w:t xml:space="preserve">State Govt’s </w:t>
      </w:r>
      <w:r w:rsidRPr="000D3943">
        <w:rPr>
          <w:rFonts w:ascii="Arial" w:hAnsi="Arial" w:cs="Arial"/>
          <w:sz w:val="28"/>
          <w:szCs w:val="28"/>
          <w:lang w:val="en-AU"/>
        </w:rPr>
        <w:t>C</w:t>
      </w:r>
      <w:r w:rsidR="00171995">
        <w:rPr>
          <w:rFonts w:ascii="Arial" w:hAnsi="Arial" w:cs="Arial"/>
          <w:sz w:val="28"/>
          <w:szCs w:val="28"/>
          <w:lang w:val="en-AU"/>
        </w:rPr>
        <w:t>ost-</w:t>
      </w:r>
      <w:r w:rsidRPr="000D3943">
        <w:rPr>
          <w:rFonts w:ascii="Arial" w:hAnsi="Arial" w:cs="Arial"/>
          <w:sz w:val="28"/>
          <w:szCs w:val="28"/>
          <w:lang w:val="en-AU"/>
        </w:rPr>
        <w:t>B</w:t>
      </w:r>
      <w:r w:rsidR="00171995">
        <w:rPr>
          <w:rFonts w:ascii="Arial" w:hAnsi="Arial" w:cs="Arial"/>
          <w:sz w:val="28"/>
          <w:szCs w:val="28"/>
          <w:lang w:val="en-AU"/>
        </w:rPr>
        <w:t xml:space="preserve">enefit </w:t>
      </w:r>
      <w:r w:rsidRPr="000D3943">
        <w:rPr>
          <w:rFonts w:ascii="Arial" w:hAnsi="Arial" w:cs="Arial"/>
          <w:sz w:val="28"/>
          <w:szCs w:val="28"/>
          <w:lang w:val="en-AU"/>
        </w:rPr>
        <w:t>A</w:t>
      </w:r>
      <w:r w:rsidR="00171995">
        <w:rPr>
          <w:rFonts w:ascii="Arial" w:hAnsi="Arial" w:cs="Arial"/>
          <w:sz w:val="28"/>
          <w:szCs w:val="28"/>
          <w:lang w:val="en-AU"/>
        </w:rPr>
        <w:t>nalysis</w:t>
      </w:r>
      <w:r w:rsidRPr="000D3943">
        <w:rPr>
          <w:rFonts w:ascii="Arial" w:hAnsi="Arial" w:cs="Arial"/>
          <w:sz w:val="28"/>
          <w:szCs w:val="28"/>
          <w:lang w:val="en-AU"/>
        </w:rPr>
        <w:t xml:space="preserve"> to Productivity Commission</w:t>
      </w:r>
      <w:r w:rsidR="00171995">
        <w:rPr>
          <w:rFonts w:ascii="Arial" w:hAnsi="Arial" w:cs="Arial"/>
          <w:sz w:val="28"/>
          <w:szCs w:val="28"/>
          <w:lang w:val="en-AU"/>
        </w:rPr>
        <w:t xml:space="preserve"> that offered to perform that role in 2009</w:t>
      </w:r>
      <w:bookmarkEnd w:id="0"/>
    </w:p>
    <w:sectPr w:rsidR="000D3943" w:rsidRPr="000D3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2F"/>
    <w:rsid w:val="000D3943"/>
    <w:rsid w:val="00171995"/>
    <w:rsid w:val="004C672F"/>
    <w:rsid w:val="0055079F"/>
    <w:rsid w:val="0067749D"/>
    <w:rsid w:val="00AD10AC"/>
    <w:rsid w:val="00E2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7A787-F297-4D16-9CEB-C4704D3D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Calibri"/>
        <w:bCs/>
        <w:sz w:val="22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6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6</cp:revision>
  <dcterms:created xsi:type="dcterms:W3CDTF">2021-03-07T06:36:00Z</dcterms:created>
  <dcterms:modified xsi:type="dcterms:W3CDTF">2021-03-08T00:37:00Z</dcterms:modified>
</cp:coreProperties>
</file>