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02" w:rsidRDefault="00623181">
      <w:pPr>
        <w:spacing w:before="75"/>
        <w:ind w:right="206"/>
        <w:jc w:val="right"/>
        <w:rPr>
          <w:sz w:val="36"/>
        </w:rPr>
      </w:pPr>
      <w:r w:rsidRPr="00A922C5">
        <w:rPr>
          <w:color w:val="3C4A67"/>
          <w:sz w:val="36"/>
          <w:highlight w:val="yellow"/>
        </w:rPr>
        <w:t>Schedule</w:t>
      </w:r>
      <w:r w:rsidRPr="00A922C5">
        <w:rPr>
          <w:color w:val="3C4A67"/>
          <w:spacing w:val="-11"/>
          <w:sz w:val="36"/>
          <w:highlight w:val="yellow"/>
        </w:rPr>
        <w:t xml:space="preserve"> </w:t>
      </w:r>
      <w:r w:rsidRPr="00A922C5">
        <w:rPr>
          <w:color w:val="3C4A67"/>
          <w:spacing w:val="-10"/>
          <w:sz w:val="36"/>
          <w:highlight w:val="yellow"/>
        </w:rPr>
        <w:t>E</w:t>
      </w:r>
    </w:p>
    <w:p w:rsidR="00BC0702" w:rsidRDefault="00623181">
      <w:pPr>
        <w:pStyle w:val="Title"/>
      </w:pPr>
      <w:r>
        <w:rPr>
          <w:color w:val="3C4A67"/>
        </w:rPr>
        <w:t>National</w:t>
      </w:r>
      <w:r>
        <w:rPr>
          <w:color w:val="3C4A67"/>
          <w:spacing w:val="-13"/>
        </w:rPr>
        <w:t xml:space="preserve"> </w:t>
      </w:r>
      <w:r>
        <w:rPr>
          <w:color w:val="3C4A67"/>
        </w:rPr>
        <w:t>Policy</w:t>
      </w:r>
      <w:r>
        <w:rPr>
          <w:color w:val="3C4A67"/>
          <w:spacing w:val="-15"/>
        </w:rPr>
        <w:t xml:space="preserve"> </w:t>
      </w:r>
      <w:r>
        <w:rPr>
          <w:color w:val="3C4A67"/>
        </w:rPr>
        <w:t>and</w:t>
      </w:r>
      <w:r>
        <w:rPr>
          <w:color w:val="3C4A67"/>
          <w:spacing w:val="-13"/>
        </w:rPr>
        <w:t xml:space="preserve"> </w:t>
      </w:r>
      <w:r>
        <w:rPr>
          <w:color w:val="3C4A67"/>
        </w:rPr>
        <w:t xml:space="preserve">Reform </w:t>
      </w:r>
      <w:r>
        <w:rPr>
          <w:color w:val="3C4A67"/>
          <w:spacing w:val="-2"/>
        </w:rPr>
        <w:t>Objectives</w:t>
      </w:r>
    </w:p>
    <w:p w:rsidR="00BC0702" w:rsidRDefault="00623181" w:rsidP="00A922C5">
      <w:pPr>
        <w:spacing w:line="281" w:lineRule="exact"/>
        <w:ind w:left="112"/>
        <w:jc w:val="both"/>
        <w:rPr>
          <w:rFonts w:ascii="Consolas"/>
          <w:b/>
          <w:sz w:val="24"/>
        </w:rPr>
      </w:pPr>
      <w:proofErr w:type="spellStart"/>
      <w:r>
        <w:rPr>
          <w:rFonts w:ascii="Consolas"/>
          <w:b/>
          <w:color w:val="C6823D"/>
          <w:spacing w:val="42"/>
          <w:sz w:val="24"/>
        </w:rPr>
        <w:t>INTERGO</w:t>
      </w:r>
      <w:r>
        <w:rPr>
          <w:rFonts w:ascii="Consolas"/>
          <w:b/>
          <w:color w:val="C6823D"/>
          <w:sz w:val="24"/>
        </w:rPr>
        <w:t>V</w:t>
      </w:r>
      <w:proofErr w:type="spellEnd"/>
      <w:r>
        <w:rPr>
          <w:rFonts w:ascii="Consolas"/>
          <w:b/>
          <w:color w:val="C6823D"/>
          <w:spacing w:val="-83"/>
          <w:sz w:val="24"/>
        </w:rPr>
        <w:t xml:space="preserve"> </w:t>
      </w:r>
      <w:proofErr w:type="spellStart"/>
      <w:r>
        <w:rPr>
          <w:rFonts w:ascii="Consolas"/>
          <w:b/>
          <w:color w:val="C6823D"/>
          <w:spacing w:val="37"/>
          <w:sz w:val="24"/>
        </w:rPr>
        <w:t>ERNM</w:t>
      </w:r>
      <w:r>
        <w:rPr>
          <w:rFonts w:ascii="Consolas"/>
          <w:b/>
          <w:color w:val="C6823D"/>
          <w:sz w:val="24"/>
        </w:rPr>
        <w:t>E</w:t>
      </w:r>
      <w:proofErr w:type="spellEnd"/>
      <w:r>
        <w:rPr>
          <w:rFonts w:ascii="Consolas"/>
          <w:b/>
          <w:color w:val="C6823D"/>
          <w:spacing w:val="-83"/>
          <w:sz w:val="24"/>
        </w:rPr>
        <w:t xml:space="preserve"> </w:t>
      </w:r>
      <w:proofErr w:type="spellStart"/>
      <w:r>
        <w:rPr>
          <w:rFonts w:ascii="Consolas"/>
          <w:b/>
          <w:color w:val="C6823D"/>
          <w:spacing w:val="37"/>
          <w:sz w:val="24"/>
        </w:rPr>
        <w:t>NTAL</w:t>
      </w:r>
      <w:proofErr w:type="spellEnd"/>
      <w:r>
        <w:rPr>
          <w:rFonts w:ascii="Consolas"/>
          <w:b/>
          <w:color w:val="C6823D"/>
          <w:spacing w:val="38"/>
          <w:w w:val="150"/>
          <w:sz w:val="24"/>
        </w:rPr>
        <w:t xml:space="preserve"> </w:t>
      </w:r>
      <w:proofErr w:type="spellStart"/>
      <w:r>
        <w:rPr>
          <w:rFonts w:ascii="Consolas"/>
          <w:b/>
          <w:color w:val="C6823D"/>
          <w:spacing w:val="25"/>
          <w:sz w:val="24"/>
        </w:rPr>
        <w:t>AG</w:t>
      </w:r>
      <w:r>
        <w:rPr>
          <w:rFonts w:ascii="Consolas"/>
          <w:b/>
          <w:color w:val="C6823D"/>
          <w:sz w:val="24"/>
        </w:rPr>
        <w:t>R</w:t>
      </w:r>
      <w:r>
        <w:rPr>
          <w:rFonts w:ascii="Consolas"/>
          <w:b/>
          <w:color w:val="C6823D"/>
          <w:spacing w:val="37"/>
          <w:sz w:val="24"/>
        </w:rPr>
        <w:t>EEME</w:t>
      </w:r>
      <w:r>
        <w:rPr>
          <w:rFonts w:ascii="Consolas"/>
          <w:b/>
          <w:color w:val="C6823D"/>
          <w:sz w:val="24"/>
        </w:rPr>
        <w:t>N</w:t>
      </w:r>
      <w:proofErr w:type="spellEnd"/>
      <w:r>
        <w:rPr>
          <w:rFonts w:ascii="Consolas"/>
          <w:b/>
          <w:color w:val="C6823D"/>
          <w:spacing w:val="-83"/>
          <w:sz w:val="24"/>
        </w:rPr>
        <w:t xml:space="preserve"> </w:t>
      </w:r>
      <w:r>
        <w:rPr>
          <w:rFonts w:ascii="Consolas"/>
          <w:b/>
          <w:color w:val="C6823D"/>
          <w:spacing w:val="-10"/>
          <w:sz w:val="24"/>
        </w:rPr>
        <w:t>T</w:t>
      </w:r>
    </w:p>
    <w:p w:rsidR="00BC0702" w:rsidRDefault="00623181" w:rsidP="00A922C5">
      <w:pPr>
        <w:ind w:left="112"/>
        <w:jc w:val="both"/>
        <w:rPr>
          <w:rFonts w:ascii="Consolas"/>
          <w:b/>
          <w:sz w:val="24"/>
        </w:rPr>
      </w:pPr>
      <w:r>
        <w:rPr>
          <w:rFonts w:ascii="Consolas"/>
          <w:b/>
          <w:color w:val="C6823D"/>
          <w:spacing w:val="25"/>
          <w:sz w:val="24"/>
        </w:rPr>
        <w:t>ON</w:t>
      </w:r>
      <w:r>
        <w:rPr>
          <w:rFonts w:ascii="Consolas"/>
          <w:b/>
          <w:color w:val="C6823D"/>
          <w:spacing w:val="35"/>
          <w:w w:val="150"/>
          <w:sz w:val="24"/>
        </w:rPr>
        <w:t xml:space="preserve"> </w:t>
      </w:r>
      <w:proofErr w:type="spellStart"/>
      <w:r>
        <w:rPr>
          <w:rFonts w:ascii="Consolas"/>
          <w:b/>
          <w:color w:val="C6823D"/>
          <w:spacing w:val="37"/>
          <w:sz w:val="24"/>
        </w:rPr>
        <w:t>FEDE</w:t>
      </w:r>
      <w:r>
        <w:rPr>
          <w:rFonts w:ascii="Consolas"/>
          <w:b/>
          <w:color w:val="C6823D"/>
          <w:sz w:val="24"/>
        </w:rPr>
        <w:t>R</w:t>
      </w:r>
      <w:proofErr w:type="spellEnd"/>
      <w:r>
        <w:rPr>
          <w:rFonts w:ascii="Consolas"/>
          <w:b/>
          <w:color w:val="C6823D"/>
          <w:spacing w:val="-84"/>
          <w:sz w:val="24"/>
        </w:rPr>
        <w:t xml:space="preserve"> </w:t>
      </w:r>
      <w:r>
        <w:rPr>
          <w:rFonts w:ascii="Consolas"/>
          <w:b/>
          <w:color w:val="C6823D"/>
          <w:spacing w:val="25"/>
          <w:sz w:val="24"/>
        </w:rPr>
        <w:t>AL</w:t>
      </w:r>
      <w:r>
        <w:rPr>
          <w:rFonts w:ascii="Consolas"/>
          <w:b/>
          <w:color w:val="C6823D"/>
          <w:spacing w:val="36"/>
          <w:w w:val="150"/>
          <w:sz w:val="24"/>
        </w:rPr>
        <w:t xml:space="preserve"> </w:t>
      </w:r>
      <w:r>
        <w:rPr>
          <w:rFonts w:ascii="Consolas"/>
          <w:b/>
          <w:color w:val="C6823D"/>
          <w:sz w:val="24"/>
        </w:rPr>
        <w:t>F</w:t>
      </w:r>
      <w:r>
        <w:rPr>
          <w:rFonts w:ascii="Consolas"/>
          <w:b/>
          <w:color w:val="C6823D"/>
          <w:sz w:val="24"/>
        </w:rPr>
        <w:t>I</w:t>
      </w:r>
      <w:r>
        <w:rPr>
          <w:rFonts w:ascii="Consolas"/>
          <w:b/>
          <w:color w:val="C6823D"/>
          <w:spacing w:val="42"/>
          <w:sz w:val="24"/>
        </w:rPr>
        <w:t>NANCIAL</w:t>
      </w:r>
      <w:r>
        <w:rPr>
          <w:rFonts w:ascii="Consolas"/>
          <w:b/>
          <w:color w:val="C6823D"/>
          <w:spacing w:val="33"/>
          <w:w w:val="150"/>
          <w:sz w:val="24"/>
        </w:rPr>
        <w:t xml:space="preserve"> </w:t>
      </w:r>
      <w:proofErr w:type="spellStart"/>
      <w:r>
        <w:rPr>
          <w:rFonts w:ascii="Consolas"/>
          <w:b/>
          <w:color w:val="C6823D"/>
          <w:spacing w:val="37"/>
          <w:sz w:val="24"/>
        </w:rPr>
        <w:t>RELA</w:t>
      </w:r>
      <w:r>
        <w:rPr>
          <w:rFonts w:ascii="Consolas"/>
          <w:b/>
          <w:color w:val="C6823D"/>
          <w:sz w:val="24"/>
        </w:rPr>
        <w:t>T</w:t>
      </w:r>
      <w:proofErr w:type="spellEnd"/>
      <w:r>
        <w:rPr>
          <w:rFonts w:ascii="Consolas"/>
          <w:b/>
          <w:color w:val="C6823D"/>
          <w:spacing w:val="-84"/>
          <w:sz w:val="24"/>
        </w:rPr>
        <w:t xml:space="preserve"> </w:t>
      </w:r>
      <w:r>
        <w:rPr>
          <w:rFonts w:ascii="Consolas"/>
          <w:b/>
          <w:color w:val="C6823D"/>
          <w:spacing w:val="33"/>
          <w:sz w:val="24"/>
        </w:rPr>
        <w:t>ION</w:t>
      </w:r>
      <w:r>
        <w:rPr>
          <w:rFonts w:ascii="Consolas"/>
          <w:b/>
          <w:color w:val="C6823D"/>
          <w:spacing w:val="-81"/>
          <w:sz w:val="24"/>
        </w:rPr>
        <w:t xml:space="preserve"> </w:t>
      </w:r>
      <w:r>
        <w:rPr>
          <w:rFonts w:ascii="Consolas"/>
          <w:b/>
          <w:color w:val="C6823D"/>
          <w:spacing w:val="-10"/>
          <w:sz w:val="24"/>
        </w:rPr>
        <w:t>S</w:t>
      </w:r>
    </w:p>
    <w:p w:rsidR="00BC0702" w:rsidRDefault="00BC0702">
      <w:pPr>
        <w:pStyle w:val="BodyText"/>
        <w:ind w:left="0" w:firstLine="0"/>
        <w:jc w:val="left"/>
        <w:rPr>
          <w:rFonts w:ascii="Consolas"/>
          <w:b/>
          <w:sz w:val="28"/>
        </w:rPr>
      </w:pPr>
    </w:p>
    <w:p w:rsidR="00BC0702" w:rsidRDefault="00BC0702">
      <w:pPr>
        <w:pStyle w:val="BodyText"/>
        <w:ind w:left="0" w:firstLine="0"/>
        <w:jc w:val="left"/>
        <w:rPr>
          <w:rFonts w:ascii="Consolas"/>
          <w:b/>
          <w:sz w:val="28"/>
        </w:rPr>
      </w:pPr>
    </w:p>
    <w:p w:rsidR="00BC0702" w:rsidRDefault="00BC0702">
      <w:pPr>
        <w:pStyle w:val="BodyText"/>
        <w:spacing w:before="3"/>
        <w:ind w:left="0" w:firstLine="0"/>
        <w:jc w:val="left"/>
        <w:rPr>
          <w:rFonts w:ascii="Consolas"/>
          <w:b/>
          <w:sz w:val="36"/>
        </w:rPr>
      </w:pPr>
    </w:p>
    <w:p w:rsidR="00BC0702" w:rsidRDefault="00623181">
      <w:pPr>
        <w:pStyle w:val="Heading1"/>
        <w:spacing w:before="1"/>
      </w:pPr>
      <w:r>
        <w:rPr>
          <w:color w:val="3C4A67"/>
        </w:rPr>
        <w:t>NATIONAL</w:t>
      </w:r>
      <w:r>
        <w:rPr>
          <w:color w:val="3C4A67"/>
          <w:spacing w:val="-12"/>
        </w:rPr>
        <w:t xml:space="preserve"> </w:t>
      </w:r>
      <w:r>
        <w:rPr>
          <w:color w:val="3C4A67"/>
          <w:spacing w:val="-2"/>
        </w:rPr>
        <w:t>AGREEMENTS</w:t>
      </w:r>
    </w:p>
    <w:p w:rsidR="00BC0702" w:rsidRDefault="00623181">
      <w:pPr>
        <w:pStyle w:val="BodyText"/>
        <w:spacing w:before="184" w:line="223" w:lineRule="auto"/>
        <w:ind w:right="103"/>
      </w:pPr>
      <w:r>
        <w:t>E1</w:t>
      </w:r>
      <w:r>
        <w:rPr>
          <w:spacing w:val="80"/>
          <w:w w:val="150"/>
        </w:rPr>
        <w:t xml:space="preserve"> </w:t>
      </w:r>
      <w:proofErr w:type="gramStart"/>
      <w:r>
        <w:t>The</w:t>
      </w:r>
      <w:proofErr w:type="gramEnd"/>
      <w:r>
        <w:t xml:space="preserve"> new framework for federal financial relations replaces Commonwealth prescriptions on service delivery by the States and Territories </w:t>
      </w:r>
      <w:r w:rsidRPr="00A922C5">
        <w:rPr>
          <w:highlight w:val="yellow"/>
        </w:rPr>
        <w:t>with a rigorous focus on the achievement by all levels of government of mutually agreed objectives and outcomes that imp</w:t>
      </w:r>
      <w:r w:rsidRPr="00A922C5">
        <w:rPr>
          <w:highlight w:val="yellow"/>
        </w:rPr>
        <w:t>rove the well-being of Australians.</w:t>
      </w:r>
    </w:p>
    <w:p w:rsidR="00BC0702" w:rsidRDefault="00623181">
      <w:pPr>
        <w:pStyle w:val="BodyText"/>
        <w:spacing w:before="239" w:line="220" w:lineRule="auto"/>
        <w:ind w:right="103"/>
      </w:pPr>
      <w:r>
        <w:t>E2</w:t>
      </w:r>
      <w:r>
        <w:rPr>
          <w:spacing w:val="80"/>
        </w:rPr>
        <w:t xml:space="preserve"> </w:t>
      </w:r>
      <w:proofErr w:type="gramStart"/>
      <w:r>
        <w:t>The</w:t>
      </w:r>
      <w:proofErr w:type="gramEnd"/>
      <w:r>
        <w:rPr>
          <w:spacing w:val="40"/>
        </w:rPr>
        <w:t xml:space="preserve"> </w:t>
      </w:r>
      <w:r>
        <w:t>Parties</w:t>
      </w:r>
      <w:r>
        <w:rPr>
          <w:spacing w:val="40"/>
        </w:rPr>
        <w:t xml:space="preserve"> </w:t>
      </w:r>
      <w:r>
        <w:t>have</w:t>
      </w:r>
      <w:r>
        <w:rPr>
          <w:spacing w:val="40"/>
        </w:rPr>
        <w:t xml:space="preserve"> </w:t>
      </w:r>
      <w:r>
        <w:t>recorded</w:t>
      </w:r>
      <w:r>
        <w:rPr>
          <w:spacing w:val="40"/>
        </w:rPr>
        <w:t xml:space="preserve"> </w:t>
      </w:r>
      <w:r>
        <w:t>their</w:t>
      </w:r>
      <w:r>
        <w:rPr>
          <w:spacing w:val="40"/>
        </w:rPr>
        <w:t xml:space="preserve"> </w:t>
      </w:r>
      <w:r>
        <w:t>mutually</w:t>
      </w:r>
      <w:r>
        <w:rPr>
          <w:spacing w:val="40"/>
        </w:rPr>
        <w:t xml:space="preserve"> </w:t>
      </w:r>
      <w:r>
        <w:t>agreed</w:t>
      </w:r>
      <w:r>
        <w:rPr>
          <w:spacing w:val="40"/>
        </w:rPr>
        <w:t xml:space="preserve"> </w:t>
      </w:r>
      <w:r>
        <w:t>objectives,</w:t>
      </w:r>
      <w:r>
        <w:rPr>
          <w:spacing w:val="40"/>
        </w:rPr>
        <w:t xml:space="preserve"> </w:t>
      </w:r>
      <w:r>
        <w:t>outcomes,</w:t>
      </w:r>
      <w:r>
        <w:rPr>
          <w:spacing w:val="40"/>
        </w:rPr>
        <w:t xml:space="preserve"> </w:t>
      </w:r>
      <w:r>
        <w:t>outputs</w:t>
      </w:r>
      <w:r>
        <w:rPr>
          <w:spacing w:val="40"/>
        </w:rPr>
        <w:t xml:space="preserve"> </w:t>
      </w:r>
      <w:r>
        <w:t>and performance benchmarks in National Agreements appended to this Agreement.</w:t>
      </w:r>
    </w:p>
    <w:p w:rsidR="00BC0702" w:rsidRDefault="00623181">
      <w:pPr>
        <w:pStyle w:val="BodyText"/>
        <w:spacing w:before="239" w:line="223" w:lineRule="auto"/>
        <w:ind w:right="104"/>
      </w:pPr>
      <w:proofErr w:type="gramStart"/>
      <w:r>
        <w:t>E3</w:t>
      </w:r>
      <w:r>
        <w:rPr>
          <w:spacing w:val="80"/>
        </w:rPr>
        <w:t xml:space="preserve">  </w:t>
      </w:r>
      <w:r>
        <w:t>National</w:t>
      </w:r>
      <w:proofErr w:type="gramEnd"/>
      <w:r>
        <w:t xml:space="preserve"> Agreements will be on-going, rather than for fix</w:t>
      </w:r>
      <w:r>
        <w:t>ed periods, and may be amended by</w:t>
      </w:r>
      <w:r>
        <w:rPr>
          <w:spacing w:val="80"/>
        </w:rPr>
        <w:t xml:space="preserve"> </w:t>
      </w:r>
      <w:r>
        <w:t>the Council of Australian Governments (COAG) when necessary.</w:t>
      </w:r>
    </w:p>
    <w:p w:rsidR="00BC0702" w:rsidRDefault="00623181">
      <w:pPr>
        <w:pStyle w:val="BodyText"/>
        <w:spacing w:before="239" w:line="223" w:lineRule="auto"/>
        <w:ind w:right="104"/>
      </w:pPr>
      <w:r>
        <w:t>E4</w:t>
      </w:r>
      <w:r>
        <w:rPr>
          <w:spacing w:val="80"/>
        </w:rPr>
        <w:t xml:space="preserve"> </w:t>
      </w:r>
      <w:r>
        <w:t>National Agreements are not funding agreements. However, they may be associated with a National Specific Purpose Payment (</w:t>
      </w:r>
      <w:proofErr w:type="spellStart"/>
      <w:r>
        <w:t>SPP</w:t>
      </w:r>
      <w:proofErr w:type="spellEnd"/>
      <w:r>
        <w:t>) which can provide funding to th</w:t>
      </w:r>
      <w:r>
        <w:t>e States and Territories for the sector covered by the National Agreement. Reviews of funding adequacy and related outcomes will be undertaken, at least every five years, by the Standing Council on Federal Financial Relations.</w:t>
      </w:r>
    </w:p>
    <w:p w:rsidR="00BC0702" w:rsidRDefault="00623181">
      <w:pPr>
        <w:pStyle w:val="BodyText"/>
        <w:spacing w:before="238" w:line="220" w:lineRule="auto"/>
        <w:ind w:right="102"/>
      </w:pPr>
      <w:r>
        <w:t>E5</w:t>
      </w:r>
      <w:r>
        <w:rPr>
          <w:spacing w:val="80"/>
          <w:w w:val="150"/>
        </w:rPr>
        <w:t xml:space="preserve"> </w:t>
      </w:r>
      <w:r>
        <w:t>National Agreements will n</w:t>
      </w:r>
      <w:r>
        <w:t>ot include financial or other input controls — for example, funding matching or maintenance of effort requirements — imposed on service delivery by the States and Territories.</w:t>
      </w:r>
    </w:p>
    <w:p w:rsidR="00BC0702" w:rsidRDefault="00623181">
      <w:pPr>
        <w:pStyle w:val="BodyText"/>
        <w:spacing w:before="242" w:line="223" w:lineRule="auto"/>
        <w:ind w:right="101"/>
      </w:pPr>
      <w:proofErr w:type="gramStart"/>
      <w:r>
        <w:t>E6</w:t>
      </w:r>
      <w:r>
        <w:rPr>
          <w:spacing w:val="80"/>
        </w:rPr>
        <w:t xml:space="preserve">  </w:t>
      </w:r>
      <w:r>
        <w:t>National</w:t>
      </w:r>
      <w:proofErr w:type="gramEnd"/>
      <w:r>
        <w:t xml:space="preserve"> Agreements will be drafted in plain English prose, with no quasi-le</w:t>
      </w:r>
      <w:r>
        <w:t xml:space="preserve">gal conditions. As they involve national priorities in the main human services delivery sectors of all the States and Territories, to the fullest extent possible National Agreements will be multi-lateral agreements </w:t>
      </w:r>
      <w:proofErr w:type="gramStart"/>
      <w:r>
        <w:t>between</w:t>
      </w:r>
      <w:proofErr w:type="gramEnd"/>
      <w:r>
        <w:t xml:space="preserve"> all governments.</w:t>
      </w:r>
    </w:p>
    <w:p w:rsidR="00BC0702" w:rsidRDefault="00623181">
      <w:pPr>
        <w:pStyle w:val="BodyText"/>
        <w:spacing w:before="237" w:line="220" w:lineRule="auto"/>
        <w:ind w:right="106"/>
      </w:pPr>
      <w:r>
        <w:t>E7</w:t>
      </w:r>
      <w:r>
        <w:rPr>
          <w:spacing w:val="80"/>
        </w:rPr>
        <w:t xml:space="preserve"> </w:t>
      </w:r>
      <w:r>
        <w:t>Each National Agreement contains a clear, mutually agreed statement of objectives and outcomes, outputs, roles and responsibilities, and performance indicators, setting out:</w:t>
      </w:r>
    </w:p>
    <w:p w:rsidR="00BC0702" w:rsidRDefault="00623181">
      <w:pPr>
        <w:pStyle w:val="ListParagraph"/>
        <w:numPr>
          <w:ilvl w:val="0"/>
          <w:numId w:val="6"/>
        </w:numPr>
        <w:tabs>
          <w:tab w:val="left" w:pos="1246"/>
        </w:tabs>
        <w:spacing w:before="245" w:line="220" w:lineRule="auto"/>
        <w:ind w:right="103"/>
        <w:rPr>
          <w:sz w:val="23"/>
        </w:rPr>
      </w:pPr>
      <w:r>
        <w:rPr>
          <w:sz w:val="23"/>
        </w:rPr>
        <w:t>what the Commonwealth</w:t>
      </w:r>
      <w:r>
        <w:rPr>
          <w:spacing w:val="-1"/>
          <w:sz w:val="23"/>
        </w:rPr>
        <w:t xml:space="preserve"> </w:t>
      </w:r>
      <w:r>
        <w:rPr>
          <w:sz w:val="23"/>
        </w:rPr>
        <w:t xml:space="preserve">and the States and Territories expect to achieve from their </w:t>
      </w:r>
      <w:r>
        <w:rPr>
          <w:sz w:val="23"/>
        </w:rPr>
        <w:t>joint involvement — the objectives and expected outcomes and outputs — including a focus on enhancing social inclusion and addressing Indigenous disadvantage;</w:t>
      </w:r>
    </w:p>
    <w:p w:rsidR="00BC0702" w:rsidRDefault="00623181">
      <w:pPr>
        <w:pStyle w:val="ListParagraph"/>
        <w:numPr>
          <w:ilvl w:val="0"/>
          <w:numId w:val="6"/>
        </w:numPr>
        <w:tabs>
          <w:tab w:val="left" w:pos="1246"/>
        </w:tabs>
        <w:spacing w:before="245" w:line="220" w:lineRule="auto"/>
        <w:rPr>
          <w:sz w:val="23"/>
        </w:rPr>
      </w:pPr>
      <w:r>
        <w:rPr>
          <w:sz w:val="23"/>
        </w:rPr>
        <w:t xml:space="preserve">the role of each jurisdiction and the responsibilities they undertake to be accountable for; </w:t>
      </w:r>
      <w:r>
        <w:rPr>
          <w:spacing w:val="-4"/>
          <w:sz w:val="23"/>
        </w:rPr>
        <w:t>and</w:t>
      </w:r>
    </w:p>
    <w:p w:rsidR="00BC0702" w:rsidRDefault="00623181">
      <w:pPr>
        <w:pStyle w:val="ListParagraph"/>
        <w:numPr>
          <w:ilvl w:val="0"/>
          <w:numId w:val="6"/>
        </w:numPr>
        <w:tabs>
          <w:tab w:val="left" w:pos="1246"/>
        </w:tabs>
        <w:spacing w:line="223" w:lineRule="auto"/>
        <w:ind w:right="103"/>
        <w:rPr>
          <w:sz w:val="23"/>
        </w:rPr>
      </w:pPr>
      <w:proofErr w:type="gramStart"/>
      <w:r>
        <w:rPr>
          <w:sz w:val="23"/>
        </w:rPr>
        <w:t>performance</w:t>
      </w:r>
      <w:proofErr w:type="gramEnd"/>
      <w:r>
        <w:rPr>
          <w:sz w:val="23"/>
        </w:rPr>
        <w:t xml:space="preserve"> indicators which will inform the community on how governments are progressing towards achieving the stated objectives, outcomes and outputs.</w:t>
      </w:r>
    </w:p>
    <w:p w:rsidR="00BC0702" w:rsidRDefault="00BC0702">
      <w:pPr>
        <w:spacing w:line="223" w:lineRule="auto"/>
        <w:jc w:val="both"/>
        <w:rPr>
          <w:sz w:val="23"/>
        </w:rPr>
        <w:sectPr w:rsidR="00BC0702">
          <w:footerReference w:type="even" r:id="rId7"/>
          <w:footerReference w:type="default" r:id="rId8"/>
          <w:type w:val="continuous"/>
          <w:pgSz w:w="11900" w:h="16840"/>
          <w:pgMar w:top="1180" w:right="1020" w:bottom="920" w:left="1020" w:header="0" w:footer="730" w:gutter="0"/>
          <w:pgNumType w:start="1"/>
          <w:cols w:space="720"/>
        </w:sectPr>
      </w:pPr>
    </w:p>
    <w:p w:rsidR="00BC0702" w:rsidRDefault="00623181">
      <w:pPr>
        <w:pStyle w:val="Heading2"/>
        <w:spacing w:before="115"/>
      </w:pPr>
      <w:r>
        <w:rPr>
          <w:color w:val="3C4A67"/>
        </w:rPr>
        <w:lastRenderedPageBreak/>
        <w:t>Objectives,</w:t>
      </w:r>
      <w:r>
        <w:rPr>
          <w:color w:val="3C4A67"/>
          <w:spacing w:val="-6"/>
        </w:rPr>
        <w:t xml:space="preserve"> </w:t>
      </w:r>
      <w:r>
        <w:rPr>
          <w:color w:val="3C4A67"/>
        </w:rPr>
        <w:t>outcomes</w:t>
      </w:r>
      <w:r>
        <w:rPr>
          <w:color w:val="3C4A67"/>
          <w:spacing w:val="-3"/>
        </w:rPr>
        <w:t xml:space="preserve"> </w:t>
      </w:r>
      <w:r>
        <w:rPr>
          <w:color w:val="3C4A67"/>
        </w:rPr>
        <w:t>and</w:t>
      </w:r>
      <w:r>
        <w:rPr>
          <w:color w:val="3C4A67"/>
          <w:spacing w:val="-3"/>
        </w:rPr>
        <w:t xml:space="preserve"> </w:t>
      </w:r>
      <w:r>
        <w:rPr>
          <w:color w:val="3C4A67"/>
          <w:spacing w:val="-2"/>
        </w:rPr>
        <w:t>outputs</w:t>
      </w:r>
    </w:p>
    <w:p w:rsidR="00BC0702" w:rsidRDefault="00623181">
      <w:pPr>
        <w:pStyle w:val="BodyText"/>
        <w:spacing w:before="128" w:line="220" w:lineRule="auto"/>
        <w:ind w:right="104"/>
      </w:pPr>
      <w:r>
        <w:t>E8</w:t>
      </w:r>
      <w:r>
        <w:rPr>
          <w:spacing w:val="80"/>
        </w:rPr>
        <w:t xml:space="preserve"> </w:t>
      </w:r>
      <w:r>
        <w:t>National Agreements will detail the mutually agreed objectives, outcomes and outputs being pursued by the Commonwealth and the States and Territories.</w:t>
      </w:r>
    </w:p>
    <w:p w:rsidR="00BC0702" w:rsidRDefault="00623181">
      <w:pPr>
        <w:pStyle w:val="BodyText"/>
        <w:spacing w:before="242" w:line="223" w:lineRule="auto"/>
        <w:ind w:right="102"/>
      </w:pPr>
      <w:proofErr w:type="gramStart"/>
      <w:r>
        <w:t>E9</w:t>
      </w:r>
      <w:r>
        <w:rPr>
          <w:spacing w:val="80"/>
        </w:rPr>
        <w:t xml:space="preserve">  </w:t>
      </w:r>
      <w:r>
        <w:t>National</w:t>
      </w:r>
      <w:proofErr w:type="gramEnd"/>
      <w:r>
        <w:t xml:space="preserve"> Agreements shoul</w:t>
      </w:r>
      <w:r>
        <w:t>d be clear and specific as far as practicable in terms of outcomes to</w:t>
      </w:r>
      <w:r>
        <w:rPr>
          <w:spacing w:val="40"/>
        </w:rPr>
        <w:t xml:space="preserve"> </w:t>
      </w:r>
      <w:r>
        <w:t>be achieved. National Agreements may also include outputs to describe the services being delivered to achieve outcomes, as a way to broadly define roles and responsibilities, and to capt</w:t>
      </w:r>
      <w:r>
        <w:t>ure contributions to outcomes, particularly where outcomes themselves are difficult to measure or isolate.</w:t>
      </w:r>
    </w:p>
    <w:p w:rsidR="00BC0702" w:rsidRDefault="00623181">
      <w:pPr>
        <w:pStyle w:val="BodyText"/>
        <w:spacing w:before="233" w:line="223" w:lineRule="auto"/>
        <w:ind w:right="107"/>
      </w:pPr>
      <w:r>
        <w:t>E10</w:t>
      </w:r>
      <w:r>
        <w:rPr>
          <w:spacing w:val="40"/>
        </w:rPr>
        <w:t xml:space="preserve"> </w:t>
      </w:r>
      <w:r>
        <w:t xml:space="preserve">Agreed outcomes and outputs should be specific and measurable and related to agreed </w:t>
      </w:r>
      <w:r>
        <w:rPr>
          <w:spacing w:val="-2"/>
        </w:rPr>
        <w:t>objectives.</w:t>
      </w:r>
    </w:p>
    <w:p w:rsidR="00BC0702" w:rsidRDefault="00BC0702">
      <w:pPr>
        <w:pStyle w:val="BodyText"/>
        <w:spacing w:before="10"/>
        <w:ind w:left="0" w:firstLine="0"/>
        <w:jc w:val="left"/>
        <w:rPr>
          <w:sz w:val="33"/>
        </w:rPr>
      </w:pPr>
    </w:p>
    <w:p w:rsidR="00BC0702" w:rsidRDefault="00623181">
      <w:pPr>
        <w:pStyle w:val="Heading2"/>
      </w:pPr>
      <w:r>
        <w:rPr>
          <w:color w:val="3C4A67"/>
        </w:rPr>
        <w:t>Roles</w:t>
      </w:r>
      <w:r>
        <w:rPr>
          <w:color w:val="3C4A67"/>
          <w:spacing w:val="-2"/>
        </w:rPr>
        <w:t xml:space="preserve"> </w:t>
      </w:r>
      <w:r>
        <w:rPr>
          <w:color w:val="3C4A67"/>
        </w:rPr>
        <w:t>and</w:t>
      </w:r>
      <w:r>
        <w:rPr>
          <w:color w:val="3C4A67"/>
          <w:spacing w:val="-2"/>
        </w:rPr>
        <w:t xml:space="preserve"> responsibilities</w:t>
      </w:r>
    </w:p>
    <w:p w:rsidR="00BC0702" w:rsidRDefault="00623181">
      <w:pPr>
        <w:pStyle w:val="BodyText"/>
        <w:spacing w:before="128" w:line="220" w:lineRule="auto"/>
        <w:ind w:right="103"/>
      </w:pPr>
      <w:r>
        <w:t>E11</w:t>
      </w:r>
      <w:r>
        <w:rPr>
          <w:spacing w:val="80"/>
        </w:rPr>
        <w:t xml:space="preserve"> </w:t>
      </w:r>
      <w:r>
        <w:t>National Agreements will contain a broad statement on the roles of each government, thereby helping to:</w:t>
      </w:r>
    </w:p>
    <w:p w:rsidR="00BC0702" w:rsidRDefault="00623181">
      <w:pPr>
        <w:pStyle w:val="ListParagraph"/>
        <w:numPr>
          <w:ilvl w:val="0"/>
          <w:numId w:val="5"/>
        </w:numPr>
        <w:tabs>
          <w:tab w:val="left" w:pos="1245"/>
          <w:tab w:val="left" w:pos="1246"/>
        </w:tabs>
        <w:spacing w:before="224"/>
        <w:ind w:right="0"/>
        <w:rPr>
          <w:sz w:val="23"/>
        </w:rPr>
      </w:pPr>
      <w:r>
        <w:rPr>
          <w:sz w:val="23"/>
        </w:rPr>
        <w:t>clarify</w:t>
      </w:r>
      <w:r>
        <w:rPr>
          <w:spacing w:val="-4"/>
          <w:sz w:val="23"/>
        </w:rPr>
        <w:t xml:space="preserve"> </w:t>
      </w:r>
      <w:r>
        <w:rPr>
          <w:sz w:val="23"/>
        </w:rPr>
        <w:t>the</w:t>
      </w:r>
      <w:r>
        <w:rPr>
          <w:spacing w:val="-2"/>
          <w:sz w:val="23"/>
        </w:rPr>
        <w:t xml:space="preserve"> </w:t>
      </w:r>
      <w:r>
        <w:rPr>
          <w:sz w:val="23"/>
        </w:rPr>
        <w:t>responsibilities</w:t>
      </w:r>
      <w:r>
        <w:rPr>
          <w:spacing w:val="-2"/>
          <w:sz w:val="23"/>
        </w:rPr>
        <w:t xml:space="preserve"> </w:t>
      </w:r>
      <w:r>
        <w:rPr>
          <w:sz w:val="23"/>
        </w:rPr>
        <w:t>of</w:t>
      </w:r>
      <w:r>
        <w:rPr>
          <w:spacing w:val="-2"/>
          <w:sz w:val="23"/>
        </w:rPr>
        <w:t xml:space="preserve"> </w:t>
      </w:r>
      <w:r>
        <w:rPr>
          <w:sz w:val="23"/>
        </w:rPr>
        <w:t>each</w:t>
      </w:r>
      <w:r>
        <w:rPr>
          <w:spacing w:val="-3"/>
          <w:sz w:val="23"/>
        </w:rPr>
        <w:t xml:space="preserve"> </w:t>
      </w:r>
      <w:r>
        <w:rPr>
          <w:sz w:val="23"/>
        </w:rPr>
        <w:t>level</w:t>
      </w:r>
      <w:r>
        <w:rPr>
          <w:spacing w:val="-4"/>
          <w:sz w:val="23"/>
        </w:rPr>
        <w:t xml:space="preserve"> </w:t>
      </w:r>
      <w:r>
        <w:rPr>
          <w:sz w:val="23"/>
        </w:rPr>
        <w:t>of</w:t>
      </w:r>
      <w:r>
        <w:rPr>
          <w:spacing w:val="-2"/>
          <w:sz w:val="23"/>
        </w:rPr>
        <w:t xml:space="preserve"> government;</w:t>
      </w:r>
    </w:p>
    <w:p w:rsidR="00BC0702" w:rsidRDefault="00623181">
      <w:pPr>
        <w:pStyle w:val="ListParagraph"/>
        <w:numPr>
          <w:ilvl w:val="0"/>
          <w:numId w:val="5"/>
        </w:numPr>
        <w:tabs>
          <w:tab w:val="left" w:pos="1245"/>
          <w:tab w:val="left" w:pos="1246"/>
        </w:tabs>
        <w:spacing w:line="220" w:lineRule="auto"/>
        <w:ind w:right="107"/>
        <w:rPr>
          <w:sz w:val="23"/>
        </w:rPr>
      </w:pPr>
      <w:r>
        <w:rPr>
          <w:sz w:val="23"/>
        </w:rPr>
        <w:t>provide a clear link between roles and responsibilities and public accountability for those ag</w:t>
      </w:r>
      <w:r>
        <w:rPr>
          <w:sz w:val="23"/>
        </w:rPr>
        <w:t>reed roles and responsibilities; and</w:t>
      </w:r>
    </w:p>
    <w:p w:rsidR="00BC0702" w:rsidRDefault="00623181">
      <w:pPr>
        <w:pStyle w:val="ListParagraph"/>
        <w:numPr>
          <w:ilvl w:val="0"/>
          <w:numId w:val="5"/>
        </w:numPr>
        <w:tabs>
          <w:tab w:val="left" w:pos="1245"/>
          <w:tab w:val="left" w:pos="1246"/>
        </w:tabs>
        <w:spacing w:before="224"/>
        <w:ind w:right="0"/>
        <w:rPr>
          <w:sz w:val="23"/>
        </w:rPr>
      </w:pPr>
      <w:proofErr w:type="gramStart"/>
      <w:r>
        <w:rPr>
          <w:sz w:val="23"/>
        </w:rPr>
        <w:t>frame</w:t>
      </w:r>
      <w:proofErr w:type="gramEnd"/>
      <w:r>
        <w:rPr>
          <w:spacing w:val="-3"/>
          <w:sz w:val="23"/>
        </w:rPr>
        <w:t xml:space="preserve"> </w:t>
      </w:r>
      <w:r>
        <w:rPr>
          <w:sz w:val="23"/>
        </w:rPr>
        <w:t>shared</w:t>
      </w:r>
      <w:r>
        <w:rPr>
          <w:spacing w:val="-4"/>
          <w:sz w:val="23"/>
        </w:rPr>
        <w:t xml:space="preserve"> </w:t>
      </w:r>
      <w:r>
        <w:rPr>
          <w:sz w:val="23"/>
        </w:rPr>
        <w:t>accountability</w:t>
      </w:r>
      <w:r>
        <w:rPr>
          <w:spacing w:val="-3"/>
          <w:sz w:val="23"/>
        </w:rPr>
        <w:t xml:space="preserve"> </w:t>
      </w:r>
      <w:r>
        <w:rPr>
          <w:sz w:val="23"/>
        </w:rPr>
        <w:t>for</w:t>
      </w:r>
      <w:r>
        <w:rPr>
          <w:spacing w:val="-3"/>
          <w:sz w:val="23"/>
        </w:rPr>
        <w:t xml:space="preserve"> </w:t>
      </w:r>
      <w:r>
        <w:rPr>
          <w:spacing w:val="-2"/>
          <w:sz w:val="23"/>
        </w:rPr>
        <w:t>outcomes.</w:t>
      </w:r>
    </w:p>
    <w:p w:rsidR="00BC0702" w:rsidRDefault="00623181">
      <w:pPr>
        <w:pStyle w:val="BodyText"/>
        <w:spacing w:before="238" w:line="220" w:lineRule="auto"/>
        <w:ind w:right="105"/>
      </w:pPr>
      <w:r>
        <w:t>E12</w:t>
      </w:r>
      <w:r>
        <w:rPr>
          <w:spacing w:val="80"/>
        </w:rPr>
        <w:t xml:space="preserve"> </w:t>
      </w:r>
      <w:r>
        <w:t>National Agreements will be explicit as to the roles and responsibilities of the Commonwealth and</w:t>
      </w:r>
      <w:r>
        <w:rPr>
          <w:spacing w:val="-2"/>
        </w:rPr>
        <w:t xml:space="preserve"> </w:t>
      </w:r>
      <w:r>
        <w:t>States and</w:t>
      </w:r>
      <w:r>
        <w:rPr>
          <w:spacing w:val="-2"/>
        </w:rPr>
        <w:t xml:space="preserve"> </w:t>
      </w:r>
      <w:r>
        <w:t>Territories to</w:t>
      </w:r>
      <w:r>
        <w:rPr>
          <w:spacing w:val="-1"/>
        </w:rPr>
        <w:t xml:space="preserve"> </w:t>
      </w:r>
      <w:r>
        <w:t>avoid</w:t>
      </w:r>
      <w:r>
        <w:rPr>
          <w:spacing w:val="-2"/>
        </w:rPr>
        <w:t xml:space="preserve"> </w:t>
      </w:r>
      <w:r>
        <w:t>any unnecessary</w:t>
      </w:r>
      <w:r>
        <w:rPr>
          <w:spacing w:val="-3"/>
        </w:rPr>
        <w:t xml:space="preserve"> </w:t>
      </w:r>
      <w:r>
        <w:t>and</w:t>
      </w:r>
      <w:r>
        <w:rPr>
          <w:spacing w:val="-2"/>
        </w:rPr>
        <w:t xml:space="preserve"> </w:t>
      </w:r>
      <w:r>
        <w:t>costly duplication of f</w:t>
      </w:r>
      <w:r>
        <w:t>unctions between different levels of government.</w:t>
      </w:r>
    </w:p>
    <w:p w:rsidR="00BC0702" w:rsidRDefault="00BC0702">
      <w:pPr>
        <w:pStyle w:val="BodyText"/>
        <w:spacing w:before="3"/>
        <w:ind w:left="0" w:firstLine="0"/>
        <w:jc w:val="left"/>
        <w:rPr>
          <w:sz w:val="34"/>
        </w:rPr>
      </w:pPr>
    </w:p>
    <w:p w:rsidR="00BC0702" w:rsidRDefault="00623181">
      <w:pPr>
        <w:pStyle w:val="Heading2"/>
        <w:spacing w:before="0"/>
      </w:pPr>
      <w:r>
        <w:rPr>
          <w:color w:val="3C4A67"/>
        </w:rPr>
        <w:t>Performance</w:t>
      </w:r>
      <w:r>
        <w:rPr>
          <w:color w:val="3C4A67"/>
          <w:spacing w:val="-4"/>
        </w:rPr>
        <w:t xml:space="preserve"> </w:t>
      </w:r>
      <w:r>
        <w:rPr>
          <w:color w:val="3C4A67"/>
          <w:spacing w:val="-2"/>
        </w:rPr>
        <w:t>indicators</w:t>
      </w:r>
    </w:p>
    <w:p w:rsidR="00BC0702" w:rsidRDefault="00623181">
      <w:pPr>
        <w:pStyle w:val="BodyText"/>
        <w:spacing w:before="124" w:line="223" w:lineRule="auto"/>
        <w:ind w:right="103"/>
      </w:pPr>
      <w:r>
        <w:t>E13</w:t>
      </w:r>
      <w:r>
        <w:rPr>
          <w:spacing w:val="40"/>
        </w:rPr>
        <w:t xml:space="preserve"> </w:t>
      </w:r>
      <w:r>
        <w:t>National Agreements will specify performance indicators to enhance public accountability. Performance indicators, in conjunction with clear roles and responsibilities, inform the community about how each government is progressing towards achieving the mutu</w:t>
      </w:r>
      <w:r>
        <w:t>ally agreed objectives, outcomes and outputs. The performance indicators could cover all relevant system components contributing to the agreed high level outcomes, including areas affected by, but not directly subject to, the National Agreement.</w:t>
      </w:r>
    </w:p>
    <w:p w:rsidR="00BC0702" w:rsidRDefault="00623181">
      <w:pPr>
        <w:pStyle w:val="BodyText"/>
        <w:spacing w:before="233" w:line="223" w:lineRule="auto"/>
        <w:ind w:right="102"/>
      </w:pPr>
      <w:r>
        <w:t>E14</w:t>
      </w:r>
      <w:r>
        <w:rPr>
          <w:spacing w:val="40"/>
        </w:rPr>
        <w:t xml:space="preserve"> </w:t>
      </w:r>
      <w:r>
        <w:t>Nation</w:t>
      </w:r>
      <w:r>
        <w:t xml:space="preserve">al Agreements may also include a limited number of outcomes </w:t>
      </w:r>
      <w:proofErr w:type="spellStart"/>
      <w:r>
        <w:t>focussed</w:t>
      </w:r>
      <w:proofErr w:type="spellEnd"/>
      <w:r>
        <w:t xml:space="preserve"> performance benchmarks, against some performance indicators. Performance benchmarks can provide the community with an indication of the rate of progress being made against agreed outcomes</w:t>
      </w:r>
      <w:r>
        <w:t xml:space="preserve">. However, there is no provision for National </w:t>
      </w:r>
      <w:proofErr w:type="spellStart"/>
      <w:r>
        <w:t>SPPs</w:t>
      </w:r>
      <w:proofErr w:type="spellEnd"/>
      <w:r>
        <w:t xml:space="preserve"> to be withheld in the case of a jurisdiction not meeting a performance benchmark.</w:t>
      </w:r>
    </w:p>
    <w:p w:rsidR="00BC0702" w:rsidRDefault="00BC0702">
      <w:pPr>
        <w:pStyle w:val="BodyText"/>
        <w:spacing w:before="7"/>
        <w:ind w:left="0" w:firstLine="0"/>
        <w:jc w:val="left"/>
        <w:rPr>
          <w:sz w:val="33"/>
        </w:rPr>
      </w:pPr>
    </w:p>
    <w:p w:rsidR="00BC0702" w:rsidRDefault="00623181">
      <w:pPr>
        <w:pStyle w:val="Heading2"/>
      </w:pPr>
      <w:r>
        <w:rPr>
          <w:color w:val="3C4A67"/>
          <w:spacing w:val="-2"/>
        </w:rPr>
        <w:t>Accountability</w:t>
      </w:r>
    </w:p>
    <w:p w:rsidR="00BC0702" w:rsidRDefault="00623181">
      <w:pPr>
        <w:pStyle w:val="BodyText"/>
        <w:spacing w:before="124" w:line="223" w:lineRule="auto"/>
        <w:ind w:right="104"/>
      </w:pPr>
      <w:r>
        <w:t>E15</w:t>
      </w:r>
      <w:r>
        <w:rPr>
          <w:spacing w:val="80"/>
        </w:rPr>
        <w:t xml:space="preserve"> </w:t>
      </w:r>
      <w:proofErr w:type="gramStart"/>
      <w:r>
        <w:t>The</w:t>
      </w:r>
      <w:proofErr w:type="gramEnd"/>
      <w:r>
        <w:t xml:space="preserve"> National Agreements, combined with the performance reporting framework </w:t>
      </w:r>
      <w:proofErr w:type="spellStart"/>
      <w:r>
        <w:t>focussed</w:t>
      </w:r>
      <w:proofErr w:type="spellEnd"/>
      <w:r>
        <w:t xml:space="preserve"> on public accountab</w:t>
      </w:r>
      <w:r>
        <w:t>ility (Schedule C), will form the basis of Commonwealth, State and Territory obligations under the new framework.</w:t>
      </w:r>
    </w:p>
    <w:p w:rsidR="00BC0702" w:rsidRDefault="00623181">
      <w:pPr>
        <w:pStyle w:val="BodyText"/>
        <w:spacing w:before="236" w:line="223" w:lineRule="auto"/>
        <w:ind w:right="102"/>
      </w:pPr>
      <w:r>
        <w:t>E16</w:t>
      </w:r>
      <w:r>
        <w:rPr>
          <w:spacing w:val="40"/>
        </w:rPr>
        <w:t xml:space="preserve"> </w:t>
      </w:r>
      <w:r>
        <w:t>National Agreements will not contain financial or other input controls, giving States and Territories more flexibility in how services are</w:t>
      </w:r>
      <w:r>
        <w:t xml:space="preserve"> provided to achieve outcomes and clarifying that the States and Territories</w:t>
      </w:r>
      <w:r>
        <w:rPr>
          <w:spacing w:val="-1"/>
        </w:rPr>
        <w:t xml:space="preserve"> </w:t>
      </w:r>
      <w:r>
        <w:t>are accountable</w:t>
      </w:r>
      <w:r>
        <w:rPr>
          <w:spacing w:val="-1"/>
        </w:rPr>
        <w:t xml:space="preserve"> </w:t>
      </w:r>
      <w:r>
        <w:t>for the delivery of state or territory services. National Agreements should also avoid prescribing delivery mechanisms.</w:t>
      </w:r>
    </w:p>
    <w:p w:rsidR="00BC0702" w:rsidRDefault="00BC0702">
      <w:pPr>
        <w:spacing w:line="223" w:lineRule="auto"/>
        <w:sectPr w:rsidR="00BC0702">
          <w:headerReference w:type="even" r:id="rId9"/>
          <w:headerReference w:type="default" r:id="rId10"/>
          <w:pgSz w:w="11900" w:h="16840"/>
          <w:pgMar w:top="1000" w:right="1020" w:bottom="920" w:left="1020" w:header="709" w:footer="730" w:gutter="0"/>
          <w:cols w:space="720"/>
        </w:sectPr>
      </w:pPr>
    </w:p>
    <w:p w:rsidR="00BC0702" w:rsidRDefault="00623181">
      <w:pPr>
        <w:pStyle w:val="BodyText"/>
        <w:spacing w:before="108" w:line="220" w:lineRule="auto"/>
        <w:ind w:right="103"/>
      </w:pPr>
      <w:r>
        <w:lastRenderedPageBreak/>
        <w:t>E17</w:t>
      </w:r>
      <w:r>
        <w:rPr>
          <w:spacing w:val="40"/>
        </w:rPr>
        <w:t xml:space="preserve"> </w:t>
      </w:r>
      <w:r>
        <w:t>National Agreements should aim to maximise coverage of related policy areas, rather than establish multiple separate agreements.</w:t>
      </w:r>
    </w:p>
    <w:p w:rsidR="00BC0702" w:rsidRDefault="00623181">
      <w:pPr>
        <w:pStyle w:val="BodyText"/>
        <w:spacing w:before="239" w:line="223" w:lineRule="auto"/>
        <w:ind w:right="100"/>
      </w:pPr>
      <w:r>
        <w:t>E18</w:t>
      </w:r>
      <w:r>
        <w:rPr>
          <w:spacing w:val="80"/>
        </w:rPr>
        <w:t xml:space="preserve"> </w:t>
      </w:r>
      <w:r>
        <w:t xml:space="preserve">Commonwealth, State and Territory officials will reach prior agreement on the nature and content of any events, announcements, promotional and acknowledgement material or publicity relating to capital investment in infrastructure or equipment supported by </w:t>
      </w:r>
      <w:r>
        <w:t>the Commonwealth’s financial contribution through a National Agreement.</w:t>
      </w:r>
      <w:r>
        <w:rPr>
          <w:spacing w:val="40"/>
        </w:rPr>
        <w:t xml:space="preserve"> </w:t>
      </w:r>
      <w:r>
        <w:t>This would include, for example, Commonwealth investment through the National Secondary School Computer Fund. Appropriate Commonwealth and State Government representatives will be invi</w:t>
      </w:r>
      <w:r>
        <w:t>ted to participate in opening ceremonies, product launches or similar events.</w:t>
      </w:r>
    </w:p>
    <w:p w:rsidR="00BC0702" w:rsidRDefault="00BC0702">
      <w:pPr>
        <w:pStyle w:val="BodyText"/>
        <w:ind w:left="0" w:firstLine="0"/>
        <w:jc w:val="left"/>
        <w:rPr>
          <w:sz w:val="28"/>
        </w:rPr>
      </w:pPr>
    </w:p>
    <w:p w:rsidR="00BC0702" w:rsidRDefault="00BC0702">
      <w:pPr>
        <w:pStyle w:val="BodyText"/>
        <w:spacing w:before="2"/>
        <w:ind w:left="0" w:firstLine="0"/>
        <w:jc w:val="left"/>
        <w:rPr>
          <w:sz w:val="30"/>
        </w:rPr>
      </w:pPr>
    </w:p>
    <w:p w:rsidR="00BC0702" w:rsidRDefault="00623181">
      <w:pPr>
        <w:pStyle w:val="Heading1"/>
      </w:pPr>
      <w:r>
        <w:rPr>
          <w:color w:val="3C4A67"/>
        </w:rPr>
        <w:t>NATIONAL</w:t>
      </w:r>
      <w:r>
        <w:rPr>
          <w:color w:val="3C4A67"/>
          <w:spacing w:val="-12"/>
        </w:rPr>
        <w:t xml:space="preserve"> </w:t>
      </w:r>
      <w:r>
        <w:rPr>
          <w:color w:val="3C4A67"/>
          <w:spacing w:val="-2"/>
        </w:rPr>
        <w:t>PARTNERSHIPS</w:t>
      </w:r>
    </w:p>
    <w:p w:rsidR="00BC0702" w:rsidRDefault="00623181">
      <w:pPr>
        <w:pStyle w:val="BodyText"/>
        <w:spacing w:before="184" w:line="223" w:lineRule="auto"/>
        <w:ind w:right="106"/>
      </w:pPr>
      <w:r>
        <w:t>E19</w:t>
      </w:r>
      <w:r>
        <w:rPr>
          <w:spacing w:val="80"/>
        </w:rPr>
        <w:t xml:space="preserve"> </w:t>
      </w:r>
      <w:proofErr w:type="gramStart"/>
      <w:r>
        <w:t>The</w:t>
      </w:r>
      <w:proofErr w:type="gramEnd"/>
      <w:r>
        <w:t xml:space="preserve"> Commonwealth will provide National Partnership payments to the</w:t>
      </w:r>
      <w:r>
        <w:rPr>
          <w:spacing w:val="-1"/>
        </w:rPr>
        <w:t xml:space="preserve"> </w:t>
      </w:r>
      <w:r>
        <w:t>States and Territories to support the delivery of specified projects, to facilitate reforms or to reward those jurisdictions that deliver on national reforms or achieve service delivery improvements.</w:t>
      </w:r>
    </w:p>
    <w:p w:rsidR="00BC0702" w:rsidRDefault="00623181">
      <w:pPr>
        <w:pStyle w:val="ListParagraph"/>
        <w:numPr>
          <w:ilvl w:val="0"/>
          <w:numId w:val="4"/>
        </w:numPr>
        <w:tabs>
          <w:tab w:val="left" w:pos="1246"/>
        </w:tabs>
        <w:spacing w:before="236" w:line="223" w:lineRule="auto"/>
        <w:rPr>
          <w:sz w:val="23"/>
        </w:rPr>
      </w:pPr>
      <w:r>
        <w:rPr>
          <w:sz w:val="23"/>
        </w:rPr>
        <w:t>The Commonwealth will provide National Partnership proje</w:t>
      </w:r>
      <w:r>
        <w:rPr>
          <w:sz w:val="23"/>
        </w:rPr>
        <w:t>ct payments where they support national objectives and provide a financial contribution to the States and Territories to deliver specific projects.</w:t>
      </w:r>
    </w:p>
    <w:p w:rsidR="00BC0702" w:rsidRDefault="00623181">
      <w:pPr>
        <w:pStyle w:val="ListParagraph"/>
        <w:numPr>
          <w:ilvl w:val="0"/>
          <w:numId w:val="4"/>
        </w:numPr>
        <w:tabs>
          <w:tab w:val="left" w:pos="1246"/>
        </w:tabs>
        <w:spacing w:before="237" w:line="223" w:lineRule="auto"/>
        <w:ind w:right="103"/>
        <w:rPr>
          <w:sz w:val="23"/>
        </w:rPr>
      </w:pPr>
      <w:r>
        <w:rPr>
          <w:sz w:val="23"/>
        </w:rPr>
        <w:t>The Commonwealth also recognises the need to support the States and Territories to undertake priority reform</w:t>
      </w:r>
      <w:r>
        <w:rPr>
          <w:sz w:val="23"/>
        </w:rPr>
        <w:t>s and pursue continuous improvement in service delivery. Consequently, when an area emerges as a national priority, National Partnership facilitation</w:t>
      </w:r>
      <w:r>
        <w:rPr>
          <w:spacing w:val="-2"/>
          <w:sz w:val="23"/>
        </w:rPr>
        <w:t xml:space="preserve"> </w:t>
      </w:r>
      <w:r>
        <w:rPr>
          <w:sz w:val="23"/>
        </w:rPr>
        <w:t>payments</w:t>
      </w:r>
      <w:r>
        <w:rPr>
          <w:spacing w:val="-2"/>
          <w:sz w:val="23"/>
        </w:rPr>
        <w:t xml:space="preserve"> </w:t>
      </w:r>
      <w:r>
        <w:rPr>
          <w:sz w:val="23"/>
        </w:rPr>
        <w:t>may</w:t>
      </w:r>
      <w:r>
        <w:rPr>
          <w:spacing w:val="-3"/>
          <w:sz w:val="23"/>
        </w:rPr>
        <w:t xml:space="preserve"> </w:t>
      </w:r>
      <w:r>
        <w:rPr>
          <w:sz w:val="23"/>
        </w:rPr>
        <w:t>be</w:t>
      </w:r>
      <w:r>
        <w:rPr>
          <w:spacing w:val="-2"/>
          <w:sz w:val="23"/>
        </w:rPr>
        <w:t xml:space="preserve"> </w:t>
      </w:r>
      <w:r>
        <w:rPr>
          <w:sz w:val="23"/>
        </w:rPr>
        <w:t>paid</w:t>
      </w:r>
      <w:r>
        <w:rPr>
          <w:spacing w:val="-4"/>
          <w:sz w:val="23"/>
        </w:rPr>
        <w:t xml:space="preserve"> </w:t>
      </w:r>
      <w:r>
        <w:rPr>
          <w:sz w:val="23"/>
        </w:rPr>
        <w:t>in</w:t>
      </w:r>
      <w:r>
        <w:rPr>
          <w:spacing w:val="-2"/>
          <w:sz w:val="23"/>
        </w:rPr>
        <w:t xml:space="preserve"> </w:t>
      </w:r>
      <w:r>
        <w:rPr>
          <w:sz w:val="23"/>
        </w:rPr>
        <w:t>advance</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States</w:t>
      </w:r>
      <w:r>
        <w:rPr>
          <w:spacing w:val="-2"/>
          <w:sz w:val="23"/>
        </w:rPr>
        <w:t xml:space="preserve"> </w:t>
      </w:r>
      <w:r>
        <w:rPr>
          <w:sz w:val="23"/>
        </w:rPr>
        <w:t>and</w:t>
      </w:r>
      <w:r>
        <w:rPr>
          <w:spacing w:val="-4"/>
          <w:sz w:val="23"/>
        </w:rPr>
        <w:t xml:space="preserve"> </w:t>
      </w:r>
      <w:r>
        <w:rPr>
          <w:sz w:val="23"/>
        </w:rPr>
        <w:t>Territories</w:t>
      </w:r>
      <w:r>
        <w:rPr>
          <w:spacing w:val="-2"/>
          <w:sz w:val="23"/>
        </w:rPr>
        <w:t xml:space="preserve"> </w:t>
      </w:r>
      <w:r>
        <w:rPr>
          <w:sz w:val="23"/>
        </w:rPr>
        <w:t>implementing</w:t>
      </w:r>
      <w:r>
        <w:rPr>
          <w:spacing w:val="-3"/>
          <w:sz w:val="23"/>
        </w:rPr>
        <w:t xml:space="preserve"> </w:t>
      </w:r>
      <w:r>
        <w:rPr>
          <w:sz w:val="23"/>
        </w:rPr>
        <w:t>a reform, in recognition of adm</w:t>
      </w:r>
      <w:r>
        <w:rPr>
          <w:sz w:val="23"/>
        </w:rPr>
        <w:t>inistrative and other costs of undertaking the reform.</w:t>
      </w:r>
    </w:p>
    <w:p w:rsidR="00BC0702" w:rsidRDefault="00623181">
      <w:pPr>
        <w:pStyle w:val="ListParagraph"/>
        <w:numPr>
          <w:ilvl w:val="0"/>
          <w:numId w:val="4"/>
        </w:numPr>
        <w:tabs>
          <w:tab w:val="left" w:pos="1246"/>
        </w:tabs>
        <w:spacing w:before="238" w:line="220" w:lineRule="auto"/>
        <w:ind w:right="105"/>
        <w:rPr>
          <w:sz w:val="23"/>
        </w:rPr>
      </w:pPr>
      <w:r>
        <w:rPr>
          <w:sz w:val="23"/>
        </w:rPr>
        <w:t>National Partnership incentive payments will be provided to reward the States and Territories which deliver reform progress or continuous improvement in service delivery.</w:t>
      </w:r>
    </w:p>
    <w:p w:rsidR="00BC0702" w:rsidRDefault="00623181">
      <w:pPr>
        <w:pStyle w:val="ListParagraph"/>
        <w:numPr>
          <w:ilvl w:val="1"/>
          <w:numId w:val="4"/>
        </w:numPr>
        <w:tabs>
          <w:tab w:val="left" w:pos="1673"/>
        </w:tabs>
        <w:spacing w:line="223" w:lineRule="auto"/>
        <w:ind w:right="104"/>
        <w:rPr>
          <w:sz w:val="23"/>
        </w:rPr>
      </w:pPr>
      <w:r>
        <w:rPr>
          <w:sz w:val="23"/>
        </w:rPr>
        <w:t>These payments will be structu</w:t>
      </w:r>
      <w:r>
        <w:rPr>
          <w:sz w:val="23"/>
        </w:rPr>
        <w:t>red in a way that encourages the achievement of ambitious milestones or performance benchmarks.</w:t>
      </w:r>
    </w:p>
    <w:p w:rsidR="00BC0702" w:rsidRDefault="00623181">
      <w:pPr>
        <w:pStyle w:val="ListParagraph"/>
        <w:numPr>
          <w:ilvl w:val="1"/>
          <w:numId w:val="4"/>
        </w:numPr>
        <w:tabs>
          <w:tab w:val="left" w:pos="1673"/>
        </w:tabs>
        <w:spacing w:line="223" w:lineRule="auto"/>
        <w:rPr>
          <w:sz w:val="23"/>
        </w:rPr>
      </w:pPr>
      <w:r>
        <w:rPr>
          <w:sz w:val="23"/>
        </w:rPr>
        <w:t xml:space="preserve">Graduated benchmarks may be specified in National Partnership agreements to provide that States receive some proportion of funding for activity that has not fully achieved the reform or service delivery objectives but has resulted in partial attainment of </w:t>
      </w:r>
      <w:r>
        <w:rPr>
          <w:sz w:val="23"/>
        </w:rPr>
        <w:t>the agreed outcomes.</w:t>
      </w:r>
    </w:p>
    <w:p w:rsidR="00BC0702" w:rsidRDefault="00623181">
      <w:pPr>
        <w:pStyle w:val="ListParagraph"/>
        <w:numPr>
          <w:ilvl w:val="1"/>
          <w:numId w:val="4"/>
        </w:numPr>
        <w:tabs>
          <w:tab w:val="left" w:pos="1673"/>
        </w:tabs>
        <w:spacing w:before="235" w:line="223" w:lineRule="auto"/>
        <w:rPr>
          <w:sz w:val="23"/>
        </w:rPr>
      </w:pPr>
      <w:r>
        <w:rPr>
          <w:sz w:val="23"/>
        </w:rPr>
        <w:t>The achievement of milestones and performance benchmarks will be assessed by the independent COAG Reform Council, in order to provide transparency and enhance accountability in the performance assessment process.</w:t>
      </w:r>
    </w:p>
    <w:p w:rsidR="00BC0702" w:rsidRDefault="00623181">
      <w:pPr>
        <w:pStyle w:val="ListParagraph"/>
        <w:numPr>
          <w:ilvl w:val="1"/>
          <w:numId w:val="4"/>
        </w:numPr>
        <w:tabs>
          <w:tab w:val="left" w:pos="1673"/>
        </w:tabs>
        <w:spacing w:before="236" w:line="223" w:lineRule="auto"/>
        <w:rPr>
          <w:sz w:val="23"/>
        </w:rPr>
      </w:pPr>
      <w:r>
        <w:rPr>
          <w:sz w:val="23"/>
        </w:rPr>
        <w:t xml:space="preserve">National Partnerships </w:t>
      </w:r>
      <w:r>
        <w:rPr>
          <w:sz w:val="23"/>
        </w:rPr>
        <w:t>should set out clear, mutually agreed and ambitious performance benchmarks that can be assessed by the COAG Reform Council. These should be structured in a way that encourages the achievement of ambitious reform targets and continuous improvement in servic</w:t>
      </w:r>
      <w:r>
        <w:rPr>
          <w:sz w:val="23"/>
        </w:rPr>
        <w:t>e delivery, and provide better</w:t>
      </w:r>
      <w:r>
        <w:rPr>
          <w:spacing w:val="40"/>
          <w:sz w:val="23"/>
        </w:rPr>
        <w:t xml:space="preserve"> </w:t>
      </w:r>
      <w:r>
        <w:rPr>
          <w:sz w:val="23"/>
        </w:rPr>
        <w:t>outcomes than would otherwise be expected.</w:t>
      </w:r>
    </w:p>
    <w:p w:rsidR="00BC0702" w:rsidRDefault="00BC0702">
      <w:pPr>
        <w:spacing w:line="223" w:lineRule="auto"/>
        <w:jc w:val="both"/>
        <w:rPr>
          <w:sz w:val="23"/>
        </w:rPr>
        <w:sectPr w:rsidR="00BC0702">
          <w:footerReference w:type="even" r:id="rId11"/>
          <w:footerReference w:type="default" r:id="rId12"/>
          <w:pgSz w:w="11900" w:h="16840"/>
          <w:pgMar w:top="1000" w:right="1020" w:bottom="920" w:left="1020" w:header="709" w:footer="730" w:gutter="0"/>
          <w:pgNumType w:start="3"/>
          <w:cols w:space="720"/>
        </w:sectPr>
      </w:pPr>
    </w:p>
    <w:p w:rsidR="00BC0702" w:rsidRDefault="00623181">
      <w:pPr>
        <w:pStyle w:val="BodyText"/>
        <w:spacing w:before="108" w:line="220" w:lineRule="auto"/>
        <w:ind w:right="105"/>
      </w:pPr>
      <w:r>
        <w:lastRenderedPageBreak/>
        <w:t>E20</w:t>
      </w:r>
      <w:r>
        <w:rPr>
          <w:spacing w:val="80"/>
          <w:w w:val="150"/>
        </w:rPr>
        <w:t xml:space="preserve"> </w:t>
      </w:r>
      <w:r>
        <w:t>National Partnerships will be drafted in plain English prose. As they involve reforms or projects</w:t>
      </w:r>
      <w:r>
        <w:rPr>
          <w:spacing w:val="40"/>
        </w:rPr>
        <w:t xml:space="preserve"> </w:t>
      </w:r>
      <w:r>
        <w:t>of national significance, to the fullest extent possible National Partnerships will be multi-lateral agreements between all governments. However:</w:t>
      </w:r>
    </w:p>
    <w:p w:rsidR="00BC0702" w:rsidRDefault="00623181">
      <w:pPr>
        <w:pStyle w:val="ListParagraph"/>
        <w:numPr>
          <w:ilvl w:val="0"/>
          <w:numId w:val="3"/>
        </w:numPr>
        <w:tabs>
          <w:tab w:val="left" w:pos="1246"/>
        </w:tabs>
        <w:spacing w:before="245" w:line="220" w:lineRule="auto"/>
        <w:ind w:right="106"/>
        <w:rPr>
          <w:sz w:val="23"/>
        </w:rPr>
      </w:pPr>
      <w:r>
        <w:rPr>
          <w:sz w:val="23"/>
        </w:rPr>
        <w:t>not</w:t>
      </w:r>
      <w:r>
        <w:rPr>
          <w:spacing w:val="-3"/>
          <w:sz w:val="23"/>
        </w:rPr>
        <w:t xml:space="preserve"> </w:t>
      </w:r>
      <w:r>
        <w:rPr>
          <w:sz w:val="23"/>
        </w:rPr>
        <w:t>all</w:t>
      </w:r>
      <w:r>
        <w:rPr>
          <w:spacing w:val="-4"/>
          <w:sz w:val="23"/>
        </w:rPr>
        <w:t xml:space="preserve"> </w:t>
      </w:r>
      <w:r>
        <w:rPr>
          <w:sz w:val="23"/>
        </w:rPr>
        <w:t>National</w:t>
      </w:r>
      <w:r>
        <w:rPr>
          <w:spacing w:val="-4"/>
          <w:sz w:val="23"/>
        </w:rPr>
        <w:t xml:space="preserve"> </w:t>
      </w:r>
      <w:r>
        <w:rPr>
          <w:sz w:val="23"/>
        </w:rPr>
        <w:t>Partnerships</w:t>
      </w:r>
      <w:r>
        <w:rPr>
          <w:spacing w:val="-2"/>
          <w:sz w:val="23"/>
        </w:rPr>
        <w:t xml:space="preserve"> </w:t>
      </w:r>
      <w:r>
        <w:rPr>
          <w:sz w:val="23"/>
        </w:rPr>
        <w:t>will</w:t>
      </w:r>
      <w:r>
        <w:rPr>
          <w:spacing w:val="-1"/>
          <w:sz w:val="23"/>
        </w:rPr>
        <w:t xml:space="preserve"> </w:t>
      </w:r>
      <w:r>
        <w:rPr>
          <w:sz w:val="23"/>
        </w:rPr>
        <w:t>be</w:t>
      </w:r>
      <w:r>
        <w:rPr>
          <w:spacing w:val="-2"/>
          <w:sz w:val="23"/>
        </w:rPr>
        <w:t xml:space="preserve"> </w:t>
      </w:r>
      <w:r>
        <w:rPr>
          <w:sz w:val="23"/>
        </w:rPr>
        <w:t>relevant</w:t>
      </w:r>
      <w:r>
        <w:rPr>
          <w:spacing w:val="-4"/>
          <w:sz w:val="23"/>
        </w:rPr>
        <w:t xml:space="preserve"> </w:t>
      </w:r>
      <w:r>
        <w:rPr>
          <w:sz w:val="23"/>
        </w:rPr>
        <w:t>to</w:t>
      </w:r>
      <w:r>
        <w:rPr>
          <w:spacing w:val="-1"/>
          <w:sz w:val="23"/>
        </w:rPr>
        <w:t xml:space="preserve"> </w:t>
      </w:r>
      <w:r>
        <w:rPr>
          <w:sz w:val="23"/>
        </w:rPr>
        <w:t>all</w:t>
      </w:r>
      <w:r>
        <w:rPr>
          <w:spacing w:val="-4"/>
          <w:sz w:val="23"/>
        </w:rPr>
        <w:t xml:space="preserve"> </w:t>
      </w:r>
      <w:r>
        <w:rPr>
          <w:sz w:val="23"/>
        </w:rPr>
        <w:t>States</w:t>
      </w:r>
      <w:r>
        <w:rPr>
          <w:spacing w:val="-2"/>
          <w:sz w:val="23"/>
        </w:rPr>
        <w:t xml:space="preserve"> </w:t>
      </w:r>
      <w:r>
        <w:rPr>
          <w:sz w:val="23"/>
        </w:rPr>
        <w:t>and</w:t>
      </w:r>
      <w:r>
        <w:rPr>
          <w:spacing w:val="-4"/>
          <w:sz w:val="23"/>
        </w:rPr>
        <w:t xml:space="preserve"> </w:t>
      </w:r>
      <w:r>
        <w:rPr>
          <w:sz w:val="23"/>
        </w:rPr>
        <w:t>Territories,</w:t>
      </w:r>
      <w:r>
        <w:rPr>
          <w:spacing w:val="-1"/>
          <w:sz w:val="23"/>
        </w:rPr>
        <w:t xml:space="preserve"> </w:t>
      </w:r>
      <w:r>
        <w:rPr>
          <w:sz w:val="23"/>
        </w:rPr>
        <w:t>in</w:t>
      </w:r>
      <w:r>
        <w:rPr>
          <w:spacing w:val="-2"/>
          <w:sz w:val="23"/>
        </w:rPr>
        <w:t xml:space="preserve"> </w:t>
      </w:r>
      <w:r>
        <w:rPr>
          <w:sz w:val="23"/>
        </w:rPr>
        <w:t>which</w:t>
      </w:r>
      <w:r>
        <w:rPr>
          <w:spacing w:val="-3"/>
          <w:sz w:val="23"/>
        </w:rPr>
        <w:t xml:space="preserve"> </w:t>
      </w:r>
      <w:r>
        <w:rPr>
          <w:sz w:val="23"/>
        </w:rPr>
        <w:t>case</w:t>
      </w:r>
      <w:r>
        <w:rPr>
          <w:spacing w:val="-2"/>
          <w:sz w:val="23"/>
        </w:rPr>
        <w:t xml:space="preserve"> </w:t>
      </w:r>
      <w:r>
        <w:rPr>
          <w:sz w:val="23"/>
        </w:rPr>
        <w:t>the National Partn</w:t>
      </w:r>
      <w:r>
        <w:rPr>
          <w:sz w:val="23"/>
        </w:rPr>
        <w:t xml:space="preserve">ership need not include those States and Territories as a party to the </w:t>
      </w:r>
      <w:r>
        <w:rPr>
          <w:spacing w:val="-2"/>
          <w:sz w:val="23"/>
        </w:rPr>
        <w:t>agreement;</w:t>
      </w:r>
    </w:p>
    <w:p w:rsidR="00BC0702" w:rsidRDefault="00623181">
      <w:pPr>
        <w:pStyle w:val="ListParagraph"/>
        <w:numPr>
          <w:ilvl w:val="0"/>
          <w:numId w:val="3"/>
        </w:numPr>
        <w:tabs>
          <w:tab w:val="left" w:pos="1245"/>
          <w:tab w:val="left" w:pos="1246"/>
        </w:tabs>
        <w:spacing w:before="227"/>
        <w:ind w:right="0"/>
        <w:rPr>
          <w:sz w:val="23"/>
        </w:rPr>
      </w:pPr>
      <w:r>
        <w:rPr>
          <w:sz w:val="23"/>
        </w:rPr>
        <w:t>the</w:t>
      </w:r>
      <w:r>
        <w:rPr>
          <w:spacing w:val="-4"/>
          <w:sz w:val="23"/>
        </w:rPr>
        <w:t xml:space="preserve"> </w:t>
      </w:r>
      <w:r>
        <w:rPr>
          <w:sz w:val="23"/>
        </w:rPr>
        <w:t>States</w:t>
      </w:r>
      <w:r>
        <w:rPr>
          <w:spacing w:val="-2"/>
          <w:sz w:val="23"/>
        </w:rPr>
        <w:t xml:space="preserve"> </w:t>
      </w:r>
      <w:r>
        <w:rPr>
          <w:sz w:val="23"/>
        </w:rPr>
        <w:t>and</w:t>
      </w:r>
      <w:r>
        <w:rPr>
          <w:spacing w:val="-3"/>
          <w:sz w:val="23"/>
        </w:rPr>
        <w:t xml:space="preserve"> </w:t>
      </w:r>
      <w:r>
        <w:rPr>
          <w:sz w:val="23"/>
        </w:rPr>
        <w:t>Territories may</w:t>
      </w:r>
      <w:r>
        <w:rPr>
          <w:spacing w:val="-2"/>
          <w:sz w:val="23"/>
        </w:rPr>
        <w:t xml:space="preserve"> </w:t>
      </w:r>
      <w:r>
        <w:rPr>
          <w:sz w:val="23"/>
        </w:rPr>
        <w:t>choose</w:t>
      </w:r>
      <w:r>
        <w:rPr>
          <w:spacing w:val="-2"/>
          <w:sz w:val="23"/>
        </w:rPr>
        <w:t xml:space="preserve"> </w:t>
      </w:r>
      <w:r>
        <w:rPr>
          <w:sz w:val="23"/>
        </w:rPr>
        <w:t>not</w:t>
      </w:r>
      <w:r>
        <w:rPr>
          <w:spacing w:val="-2"/>
          <w:sz w:val="23"/>
        </w:rPr>
        <w:t xml:space="preserve"> </w:t>
      </w:r>
      <w:r>
        <w:rPr>
          <w:sz w:val="23"/>
        </w:rPr>
        <w:t>to</w:t>
      </w:r>
      <w:r>
        <w:rPr>
          <w:spacing w:val="-2"/>
          <w:sz w:val="23"/>
        </w:rPr>
        <w:t xml:space="preserve"> </w:t>
      </w:r>
      <w:r>
        <w:rPr>
          <w:sz w:val="23"/>
        </w:rPr>
        <w:t>be</w:t>
      </w:r>
      <w:r>
        <w:rPr>
          <w:spacing w:val="-2"/>
          <w:sz w:val="23"/>
        </w:rPr>
        <w:t xml:space="preserve"> </w:t>
      </w:r>
      <w:r>
        <w:rPr>
          <w:sz w:val="23"/>
        </w:rPr>
        <w:t>a</w:t>
      </w:r>
      <w:r>
        <w:rPr>
          <w:spacing w:val="-2"/>
          <w:sz w:val="23"/>
        </w:rPr>
        <w:t xml:space="preserve"> </w:t>
      </w:r>
      <w:r>
        <w:rPr>
          <w:sz w:val="23"/>
        </w:rPr>
        <w:t>party</w:t>
      </w:r>
      <w:r>
        <w:rPr>
          <w:spacing w:val="-3"/>
          <w:sz w:val="23"/>
        </w:rPr>
        <w:t xml:space="preserve"> </w:t>
      </w:r>
      <w:r>
        <w:rPr>
          <w:sz w:val="23"/>
        </w:rPr>
        <w:t>to</w:t>
      </w:r>
      <w:r>
        <w:rPr>
          <w:spacing w:val="-2"/>
          <w:sz w:val="23"/>
        </w:rPr>
        <w:t xml:space="preserve"> </w:t>
      </w:r>
      <w:r>
        <w:rPr>
          <w:sz w:val="23"/>
        </w:rPr>
        <w:t>particular</w:t>
      </w:r>
      <w:r>
        <w:rPr>
          <w:spacing w:val="-1"/>
          <w:sz w:val="23"/>
        </w:rPr>
        <w:t xml:space="preserve"> </w:t>
      </w:r>
      <w:r>
        <w:rPr>
          <w:sz w:val="23"/>
        </w:rPr>
        <w:t>agreements;</w:t>
      </w:r>
      <w:r>
        <w:rPr>
          <w:spacing w:val="-1"/>
          <w:sz w:val="23"/>
        </w:rPr>
        <w:t xml:space="preserve"> </w:t>
      </w:r>
      <w:r>
        <w:rPr>
          <w:spacing w:val="-5"/>
          <w:sz w:val="23"/>
        </w:rPr>
        <w:t>and</w:t>
      </w:r>
    </w:p>
    <w:p w:rsidR="00BC0702" w:rsidRDefault="00623181">
      <w:pPr>
        <w:pStyle w:val="ListParagraph"/>
        <w:numPr>
          <w:ilvl w:val="0"/>
          <w:numId w:val="3"/>
        </w:numPr>
        <w:tabs>
          <w:tab w:val="left" w:pos="1246"/>
        </w:tabs>
        <w:spacing w:before="234" w:line="223" w:lineRule="auto"/>
        <w:ind w:right="104"/>
        <w:rPr>
          <w:sz w:val="23"/>
        </w:rPr>
      </w:pPr>
      <w:proofErr w:type="gramStart"/>
      <w:r>
        <w:rPr>
          <w:sz w:val="23"/>
        </w:rPr>
        <w:t>where</w:t>
      </w:r>
      <w:proofErr w:type="gramEnd"/>
      <w:r>
        <w:rPr>
          <w:sz w:val="23"/>
        </w:rPr>
        <w:t xml:space="preserve"> a National Partnership involves different characteristics between the States and Territories, state and territory specific implementation plans may form schedules to the National Partnership.</w:t>
      </w:r>
    </w:p>
    <w:p w:rsidR="00BC0702" w:rsidRDefault="00BC0702">
      <w:pPr>
        <w:pStyle w:val="BodyText"/>
        <w:spacing w:before="8"/>
        <w:ind w:left="0" w:firstLine="0"/>
        <w:jc w:val="left"/>
        <w:rPr>
          <w:sz w:val="33"/>
        </w:rPr>
      </w:pPr>
    </w:p>
    <w:p w:rsidR="00BC0702" w:rsidRPr="00426495" w:rsidRDefault="00623181">
      <w:pPr>
        <w:pStyle w:val="Heading2"/>
        <w:rPr>
          <w:highlight w:val="yellow"/>
        </w:rPr>
      </w:pPr>
      <w:r w:rsidRPr="00426495">
        <w:rPr>
          <w:color w:val="3C4A67"/>
          <w:highlight w:val="yellow"/>
        </w:rPr>
        <w:t>National</w:t>
      </w:r>
      <w:r w:rsidRPr="00426495">
        <w:rPr>
          <w:color w:val="3C4A67"/>
          <w:spacing w:val="-4"/>
          <w:highlight w:val="yellow"/>
        </w:rPr>
        <w:t xml:space="preserve"> </w:t>
      </w:r>
      <w:r w:rsidRPr="00426495">
        <w:rPr>
          <w:color w:val="3C4A67"/>
          <w:highlight w:val="yellow"/>
        </w:rPr>
        <w:t>Partnership</w:t>
      </w:r>
      <w:r w:rsidRPr="00426495">
        <w:rPr>
          <w:color w:val="3C4A67"/>
          <w:spacing w:val="-4"/>
          <w:highlight w:val="yellow"/>
        </w:rPr>
        <w:t xml:space="preserve"> </w:t>
      </w:r>
      <w:r w:rsidRPr="00426495">
        <w:rPr>
          <w:color w:val="3C4A67"/>
          <w:spacing w:val="-2"/>
          <w:highlight w:val="yellow"/>
        </w:rPr>
        <w:t>principles</w:t>
      </w:r>
    </w:p>
    <w:p w:rsidR="00BC0702" w:rsidRPr="00426495" w:rsidRDefault="00623181">
      <w:pPr>
        <w:pStyle w:val="BodyText"/>
        <w:spacing w:before="128" w:line="220" w:lineRule="auto"/>
        <w:ind w:right="104"/>
        <w:rPr>
          <w:highlight w:val="yellow"/>
        </w:rPr>
      </w:pPr>
      <w:r w:rsidRPr="00426495">
        <w:rPr>
          <w:highlight w:val="yellow"/>
        </w:rPr>
        <w:t>E21</w:t>
      </w:r>
      <w:r w:rsidRPr="00426495">
        <w:rPr>
          <w:spacing w:val="80"/>
          <w:highlight w:val="yellow"/>
        </w:rPr>
        <w:t xml:space="preserve"> </w:t>
      </w:r>
      <w:r w:rsidRPr="00426495">
        <w:rPr>
          <w:highlight w:val="yellow"/>
        </w:rPr>
        <w:t>The following princip</w:t>
      </w:r>
      <w:r w:rsidRPr="00426495">
        <w:rPr>
          <w:highlight w:val="yellow"/>
        </w:rPr>
        <w:t>les guide the basis of Commonwealth support for a national reform or service delivery improvement in areas of state or territory responsibility, where it:</w:t>
      </w:r>
    </w:p>
    <w:p w:rsidR="00BC0702" w:rsidRPr="00426495" w:rsidRDefault="00623181">
      <w:pPr>
        <w:pStyle w:val="ListParagraph"/>
        <w:numPr>
          <w:ilvl w:val="0"/>
          <w:numId w:val="2"/>
        </w:numPr>
        <w:tabs>
          <w:tab w:val="left" w:pos="1246"/>
        </w:tabs>
        <w:spacing w:before="240" w:line="223" w:lineRule="auto"/>
        <w:ind w:right="108"/>
        <w:rPr>
          <w:sz w:val="23"/>
        </w:rPr>
      </w:pPr>
      <w:r w:rsidRPr="00426495">
        <w:rPr>
          <w:sz w:val="23"/>
        </w:rPr>
        <w:t>is closely linked to a current or emerging national objective or expenditure priority of the Commonwe</w:t>
      </w:r>
      <w:r w:rsidRPr="00426495">
        <w:rPr>
          <w:sz w:val="23"/>
        </w:rPr>
        <w:t>alth — for example, addressing Indigenous disadvantage and social inclusion;</w:t>
      </w:r>
    </w:p>
    <w:p w:rsidR="00BC0702" w:rsidRPr="00426495" w:rsidRDefault="00623181">
      <w:pPr>
        <w:pStyle w:val="ListParagraph"/>
        <w:numPr>
          <w:ilvl w:val="0"/>
          <w:numId w:val="2"/>
        </w:numPr>
        <w:tabs>
          <w:tab w:val="left" w:pos="1246"/>
        </w:tabs>
        <w:spacing w:before="241" w:line="220" w:lineRule="auto"/>
        <w:ind w:right="101"/>
        <w:rPr>
          <w:sz w:val="23"/>
        </w:rPr>
      </w:pPr>
      <w:r w:rsidRPr="00426495">
        <w:rPr>
          <w:sz w:val="23"/>
        </w:rPr>
        <w:t xml:space="preserve">has ‘national public good’ characteristics — where the benefits of the involvement extend </w:t>
      </w:r>
      <w:r w:rsidRPr="00426495">
        <w:rPr>
          <w:spacing w:val="-2"/>
          <w:sz w:val="23"/>
        </w:rPr>
        <w:t>nationwide;</w:t>
      </w:r>
    </w:p>
    <w:p w:rsidR="00BC0702" w:rsidRPr="00426495" w:rsidRDefault="00623181">
      <w:pPr>
        <w:pStyle w:val="ListParagraph"/>
        <w:numPr>
          <w:ilvl w:val="0"/>
          <w:numId w:val="2"/>
        </w:numPr>
        <w:tabs>
          <w:tab w:val="left" w:pos="1245"/>
          <w:tab w:val="left" w:pos="1246"/>
        </w:tabs>
        <w:spacing w:before="226"/>
        <w:ind w:right="0"/>
        <w:rPr>
          <w:sz w:val="23"/>
        </w:rPr>
      </w:pPr>
      <w:r w:rsidRPr="00426495">
        <w:rPr>
          <w:sz w:val="23"/>
        </w:rPr>
        <w:t>has</w:t>
      </w:r>
      <w:r w:rsidRPr="00426495">
        <w:rPr>
          <w:spacing w:val="-4"/>
          <w:sz w:val="23"/>
        </w:rPr>
        <w:t xml:space="preserve"> </w:t>
      </w:r>
      <w:r w:rsidRPr="00426495">
        <w:rPr>
          <w:sz w:val="23"/>
        </w:rPr>
        <w:t>‘spill</w:t>
      </w:r>
      <w:r w:rsidRPr="00426495">
        <w:rPr>
          <w:spacing w:val="-4"/>
          <w:sz w:val="23"/>
        </w:rPr>
        <w:t xml:space="preserve"> </w:t>
      </w:r>
      <w:r w:rsidRPr="00426495">
        <w:rPr>
          <w:sz w:val="23"/>
        </w:rPr>
        <w:t>over’</w:t>
      </w:r>
      <w:r w:rsidRPr="00426495">
        <w:rPr>
          <w:spacing w:val="-3"/>
          <w:sz w:val="23"/>
        </w:rPr>
        <w:t xml:space="preserve"> </w:t>
      </w:r>
      <w:r w:rsidRPr="00426495">
        <w:rPr>
          <w:sz w:val="23"/>
        </w:rPr>
        <w:t>benefits</w:t>
      </w:r>
      <w:r w:rsidRPr="00426495">
        <w:rPr>
          <w:spacing w:val="-2"/>
          <w:sz w:val="23"/>
        </w:rPr>
        <w:t xml:space="preserve"> </w:t>
      </w:r>
      <w:r w:rsidRPr="00426495">
        <w:rPr>
          <w:sz w:val="23"/>
        </w:rPr>
        <w:t>that</w:t>
      </w:r>
      <w:r w:rsidRPr="00426495">
        <w:rPr>
          <w:spacing w:val="-4"/>
          <w:sz w:val="23"/>
        </w:rPr>
        <w:t xml:space="preserve"> </w:t>
      </w:r>
      <w:r w:rsidRPr="00426495">
        <w:rPr>
          <w:sz w:val="23"/>
        </w:rPr>
        <w:t>extend</w:t>
      </w:r>
      <w:r w:rsidRPr="00426495">
        <w:rPr>
          <w:spacing w:val="-4"/>
          <w:sz w:val="23"/>
        </w:rPr>
        <w:t xml:space="preserve"> </w:t>
      </w:r>
      <w:r w:rsidRPr="00426495">
        <w:rPr>
          <w:sz w:val="23"/>
        </w:rPr>
        <w:t>beyond</w:t>
      </w:r>
      <w:r w:rsidRPr="00426495">
        <w:rPr>
          <w:spacing w:val="-4"/>
          <w:sz w:val="23"/>
        </w:rPr>
        <w:t xml:space="preserve"> </w:t>
      </w:r>
      <w:r w:rsidRPr="00426495">
        <w:rPr>
          <w:sz w:val="23"/>
        </w:rPr>
        <w:t>the</w:t>
      </w:r>
      <w:r w:rsidRPr="00426495">
        <w:rPr>
          <w:spacing w:val="-2"/>
          <w:sz w:val="23"/>
        </w:rPr>
        <w:t xml:space="preserve"> </w:t>
      </w:r>
      <w:r w:rsidRPr="00426495">
        <w:rPr>
          <w:sz w:val="23"/>
        </w:rPr>
        <w:t>boundaries</w:t>
      </w:r>
      <w:r w:rsidRPr="00426495">
        <w:rPr>
          <w:spacing w:val="-2"/>
          <w:sz w:val="23"/>
        </w:rPr>
        <w:t xml:space="preserve"> </w:t>
      </w:r>
      <w:r w:rsidRPr="00426495">
        <w:rPr>
          <w:sz w:val="23"/>
        </w:rPr>
        <w:t>of</w:t>
      </w:r>
      <w:r w:rsidRPr="00426495">
        <w:rPr>
          <w:spacing w:val="-2"/>
          <w:sz w:val="23"/>
        </w:rPr>
        <w:t xml:space="preserve"> </w:t>
      </w:r>
      <w:r w:rsidRPr="00426495">
        <w:rPr>
          <w:sz w:val="23"/>
        </w:rPr>
        <w:t>a</w:t>
      </w:r>
      <w:r w:rsidRPr="00426495">
        <w:rPr>
          <w:spacing w:val="-3"/>
          <w:sz w:val="23"/>
        </w:rPr>
        <w:t xml:space="preserve"> </w:t>
      </w:r>
      <w:r w:rsidRPr="00426495">
        <w:rPr>
          <w:sz w:val="23"/>
        </w:rPr>
        <w:t>single</w:t>
      </w:r>
      <w:r w:rsidRPr="00426495">
        <w:rPr>
          <w:spacing w:val="-2"/>
          <w:sz w:val="23"/>
        </w:rPr>
        <w:t xml:space="preserve"> </w:t>
      </w:r>
      <w:r w:rsidRPr="00426495">
        <w:rPr>
          <w:sz w:val="23"/>
        </w:rPr>
        <w:t>State</w:t>
      </w:r>
      <w:r w:rsidRPr="00426495">
        <w:rPr>
          <w:spacing w:val="-2"/>
          <w:sz w:val="23"/>
        </w:rPr>
        <w:t xml:space="preserve"> </w:t>
      </w:r>
      <w:r w:rsidRPr="00426495">
        <w:rPr>
          <w:sz w:val="23"/>
        </w:rPr>
        <w:t>or</w:t>
      </w:r>
      <w:r w:rsidRPr="00426495">
        <w:rPr>
          <w:spacing w:val="-2"/>
          <w:sz w:val="23"/>
        </w:rPr>
        <w:t xml:space="preserve"> Territory;</w:t>
      </w:r>
    </w:p>
    <w:p w:rsidR="00BC0702" w:rsidRPr="00426495" w:rsidRDefault="00623181" w:rsidP="00426495">
      <w:pPr>
        <w:pStyle w:val="ListParagraph"/>
        <w:numPr>
          <w:ilvl w:val="0"/>
          <w:numId w:val="2"/>
        </w:numPr>
        <w:tabs>
          <w:tab w:val="left" w:pos="1246"/>
        </w:tabs>
        <w:spacing w:before="234" w:line="223" w:lineRule="auto"/>
        <w:jc w:val="left"/>
        <w:rPr>
          <w:sz w:val="23"/>
        </w:rPr>
      </w:pPr>
      <w:r w:rsidRPr="00426495">
        <w:rPr>
          <w:sz w:val="23"/>
        </w:rPr>
        <w:t>has a particularly strong impact on aggregate demand or sensitivity to the economic</w:t>
      </w:r>
      <w:r w:rsidRPr="00426495">
        <w:rPr>
          <w:spacing w:val="40"/>
          <w:sz w:val="23"/>
        </w:rPr>
        <w:t xml:space="preserve"> </w:t>
      </w:r>
      <w:r w:rsidRPr="00426495">
        <w:rPr>
          <w:sz w:val="23"/>
        </w:rPr>
        <w:t xml:space="preserve">cycle, consistent with the Commonwealth’s </w:t>
      </w:r>
      <w:proofErr w:type="spellStart"/>
      <w:r w:rsidRPr="00426495">
        <w:rPr>
          <w:sz w:val="23"/>
        </w:rPr>
        <w:t>macro economic</w:t>
      </w:r>
      <w:proofErr w:type="spellEnd"/>
      <w:r w:rsidRPr="00426495">
        <w:rPr>
          <w:sz w:val="23"/>
        </w:rPr>
        <w:t xml:space="preserve"> management responsibilities; or</w:t>
      </w:r>
    </w:p>
    <w:p w:rsidR="00BC0702" w:rsidRPr="00426495" w:rsidRDefault="00623181">
      <w:pPr>
        <w:pStyle w:val="ListParagraph"/>
        <w:numPr>
          <w:ilvl w:val="0"/>
          <w:numId w:val="2"/>
        </w:numPr>
        <w:tabs>
          <w:tab w:val="left" w:pos="1246"/>
        </w:tabs>
        <w:spacing w:line="220" w:lineRule="auto"/>
        <w:ind w:right="106"/>
        <w:rPr>
          <w:sz w:val="23"/>
        </w:rPr>
      </w:pPr>
      <w:proofErr w:type="gramStart"/>
      <w:r w:rsidRPr="00426495">
        <w:rPr>
          <w:sz w:val="23"/>
        </w:rPr>
        <w:t>addresses</w:t>
      </w:r>
      <w:proofErr w:type="gramEnd"/>
      <w:r w:rsidRPr="00426495">
        <w:rPr>
          <w:spacing w:val="-2"/>
          <w:sz w:val="23"/>
        </w:rPr>
        <w:t xml:space="preserve"> </w:t>
      </w:r>
      <w:r w:rsidRPr="00426495">
        <w:rPr>
          <w:sz w:val="23"/>
        </w:rPr>
        <w:t>a</w:t>
      </w:r>
      <w:r w:rsidRPr="00426495">
        <w:rPr>
          <w:spacing w:val="-3"/>
          <w:sz w:val="23"/>
        </w:rPr>
        <w:t xml:space="preserve"> </w:t>
      </w:r>
      <w:r w:rsidRPr="00426495">
        <w:rPr>
          <w:sz w:val="23"/>
        </w:rPr>
        <w:t>need</w:t>
      </w:r>
      <w:r w:rsidRPr="00426495">
        <w:rPr>
          <w:spacing w:val="-4"/>
          <w:sz w:val="23"/>
        </w:rPr>
        <w:t xml:space="preserve"> </w:t>
      </w:r>
      <w:r w:rsidRPr="00426495">
        <w:rPr>
          <w:sz w:val="23"/>
        </w:rPr>
        <w:t>for</w:t>
      </w:r>
      <w:r w:rsidRPr="00426495">
        <w:rPr>
          <w:spacing w:val="-3"/>
          <w:sz w:val="23"/>
        </w:rPr>
        <w:t xml:space="preserve"> </w:t>
      </w:r>
      <w:proofErr w:type="spellStart"/>
      <w:r w:rsidRPr="00426495">
        <w:rPr>
          <w:sz w:val="23"/>
        </w:rPr>
        <w:t>harmonisation</w:t>
      </w:r>
      <w:proofErr w:type="spellEnd"/>
      <w:r w:rsidRPr="00426495">
        <w:rPr>
          <w:spacing w:val="-2"/>
          <w:sz w:val="23"/>
        </w:rPr>
        <w:t xml:space="preserve"> </w:t>
      </w:r>
      <w:r w:rsidRPr="00426495">
        <w:rPr>
          <w:sz w:val="23"/>
        </w:rPr>
        <w:t>of</w:t>
      </w:r>
      <w:r w:rsidRPr="00426495">
        <w:rPr>
          <w:spacing w:val="-2"/>
          <w:sz w:val="23"/>
        </w:rPr>
        <w:t xml:space="preserve"> </w:t>
      </w:r>
      <w:r w:rsidRPr="00426495">
        <w:rPr>
          <w:sz w:val="23"/>
        </w:rPr>
        <w:t>policy</w:t>
      </w:r>
      <w:r w:rsidRPr="00426495">
        <w:rPr>
          <w:spacing w:val="-3"/>
          <w:sz w:val="23"/>
        </w:rPr>
        <w:t xml:space="preserve"> </w:t>
      </w:r>
      <w:r w:rsidRPr="00426495">
        <w:rPr>
          <w:sz w:val="23"/>
        </w:rPr>
        <w:t>between</w:t>
      </w:r>
      <w:r w:rsidRPr="00426495">
        <w:rPr>
          <w:spacing w:val="-2"/>
          <w:sz w:val="23"/>
        </w:rPr>
        <w:t xml:space="preserve"> </w:t>
      </w:r>
      <w:r w:rsidRPr="00426495">
        <w:rPr>
          <w:sz w:val="23"/>
        </w:rPr>
        <w:t>the</w:t>
      </w:r>
      <w:r w:rsidRPr="00426495">
        <w:rPr>
          <w:spacing w:val="-2"/>
          <w:sz w:val="23"/>
        </w:rPr>
        <w:t xml:space="preserve"> </w:t>
      </w:r>
      <w:r w:rsidRPr="00426495">
        <w:rPr>
          <w:sz w:val="23"/>
        </w:rPr>
        <w:t>States</w:t>
      </w:r>
      <w:r w:rsidRPr="00426495">
        <w:rPr>
          <w:spacing w:val="-2"/>
          <w:sz w:val="23"/>
        </w:rPr>
        <w:t xml:space="preserve"> </w:t>
      </w:r>
      <w:r w:rsidRPr="00426495">
        <w:rPr>
          <w:sz w:val="23"/>
        </w:rPr>
        <w:t>and</w:t>
      </w:r>
      <w:r w:rsidRPr="00426495">
        <w:rPr>
          <w:spacing w:val="-4"/>
          <w:sz w:val="23"/>
        </w:rPr>
        <w:t xml:space="preserve"> </w:t>
      </w:r>
      <w:r w:rsidRPr="00426495">
        <w:rPr>
          <w:sz w:val="23"/>
        </w:rPr>
        <w:t>Territories</w:t>
      </w:r>
      <w:r w:rsidRPr="00426495">
        <w:rPr>
          <w:spacing w:val="-2"/>
          <w:sz w:val="23"/>
        </w:rPr>
        <w:t xml:space="preserve"> </w:t>
      </w:r>
      <w:r w:rsidRPr="00426495">
        <w:rPr>
          <w:sz w:val="23"/>
        </w:rPr>
        <w:t>to</w:t>
      </w:r>
      <w:r w:rsidRPr="00426495">
        <w:rPr>
          <w:spacing w:val="-3"/>
          <w:sz w:val="23"/>
        </w:rPr>
        <w:t xml:space="preserve"> </w:t>
      </w:r>
      <w:r w:rsidRPr="00426495">
        <w:rPr>
          <w:sz w:val="23"/>
        </w:rPr>
        <w:t>reduce barriers to the movement of capital and labour.</w:t>
      </w:r>
    </w:p>
    <w:p w:rsidR="00BC0702" w:rsidRPr="00426495" w:rsidRDefault="00623181">
      <w:pPr>
        <w:pStyle w:val="BodyText"/>
        <w:spacing w:before="244" w:line="220" w:lineRule="auto"/>
        <w:ind w:right="103"/>
      </w:pPr>
      <w:r w:rsidRPr="00426495">
        <w:t>E22</w:t>
      </w:r>
      <w:r w:rsidRPr="00426495">
        <w:rPr>
          <w:spacing w:val="40"/>
        </w:rPr>
        <w:t xml:space="preserve"> </w:t>
      </w:r>
      <w:r w:rsidRPr="00426495">
        <w:t>To the fullest extent possible, the structure and design of National Partnership agreements, including the administration and reporting arrangements, will be aligned with the principles for designing National Agreements.</w:t>
      </w:r>
    </w:p>
    <w:p w:rsidR="00BC0702" w:rsidRPr="00426495" w:rsidRDefault="00623181">
      <w:pPr>
        <w:pStyle w:val="BodyText"/>
        <w:spacing w:before="245" w:line="220" w:lineRule="auto"/>
        <w:ind w:right="105"/>
        <w:rPr>
          <w:highlight w:val="yellow"/>
        </w:rPr>
      </w:pPr>
      <w:r w:rsidRPr="00426495">
        <w:rPr>
          <w:highlight w:val="yellow"/>
        </w:rPr>
        <w:t>E23</w:t>
      </w:r>
      <w:r w:rsidRPr="00426495">
        <w:rPr>
          <w:spacing w:val="80"/>
          <w:highlight w:val="yellow"/>
        </w:rPr>
        <w:t xml:space="preserve"> </w:t>
      </w:r>
      <w:r w:rsidRPr="00426495">
        <w:rPr>
          <w:highlight w:val="yellow"/>
        </w:rPr>
        <w:t>National Partnerships are gener</w:t>
      </w:r>
      <w:r w:rsidRPr="00426495">
        <w:rPr>
          <w:highlight w:val="yellow"/>
        </w:rPr>
        <w:t>ally expected to have limited time horizons. On delivery of the particular initiative which is subject to a National Partnership payment:</w:t>
      </w:r>
    </w:p>
    <w:p w:rsidR="00BC0702" w:rsidRPr="00FE7553" w:rsidRDefault="00623181">
      <w:pPr>
        <w:pStyle w:val="ListParagraph"/>
        <w:numPr>
          <w:ilvl w:val="0"/>
          <w:numId w:val="1"/>
        </w:numPr>
        <w:tabs>
          <w:tab w:val="left" w:pos="1245"/>
          <w:tab w:val="left" w:pos="1246"/>
        </w:tabs>
        <w:spacing w:before="225"/>
        <w:ind w:right="0"/>
        <w:rPr>
          <w:sz w:val="23"/>
        </w:rPr>
      </w:pPr>
      <w:r w:rsidRPr="00FE7553">
        <w:rPr>
          <w:sz w:val="23"/>
        </w:rPr>
        <w:t>funding</w:t>
      </w:r>
      <w:r w:rsidRPr="00FE7553">
        <w:rPr>
          <w:spacing w:val="-6"/>
          <w:sz w:val="23"/>
        </w:rPr>
        <w:t xml:space="preserve"> </w:t>
      </w:r>
      <w:r w:rsidRPr="00FE7553">
        <w:rPr>
          <w:sz w:val="23"/>
        </w:rPr>
        <w:t>would</w:t>
      </w:r>
      <w:r w:rsidRPr="00FE7553">
        <w:rPr>
          <w:spacing w:val="-4"/>
          <w:sz w:val="23"/>
        </w:rPr>
        <w:t xml:space="preserve"> </w:t>
      </w:r>
      <w:r w:rsidRPr="00FE7553">
        <w:rPr>
          <w:sz w:val="23"/>
        </w:rPr>
        <w:t>cease</w:t>
      </w:r>
      <w:r w:rsidRPr="00FE7553">
        <w:rPr>
          <w:spacing w:val="-2"/>
          <w:sz w:val="23"/>
        </w:rPr>
        <w:t xml:space="preserve"> </w:t>
      </w:r>
      <w:r w:rsidRPr="00FE7553">
        <w:rPr>
          <w:sz w:val="23"/>
        </w:rPr>
        <w:t>because</w:t>
      </w:r>
      <w:r w:rsidRPr="00FE7553">
        <w:rPr>
          <w:spacing w:val="-2"/>
          <w:sz w:val="23"/>
        </w:rPr>
        <w:t xml:space="preserve"> </w:t>
      </w:r>
      <w:r w:rsidRPr="00FE7553">
        <w:rPr>
          <w:sz w:val="23"/>
        </w:rPr>
        <w:t>the</w:t>
      </w:r>
      <w:r w:rsidRPr="00FE7553">
        <w:rPr>
          <w:spacing w:val="-3"/>
          <w:sz w:val="23"/>
        </w:rPr>
        <w:t xml:space="preserve"> </w:t>
      </w:r>
      <w:r w:rsidRPr="00FE7553">
        <w:rPr>
          <w:sz w:val="23"/>
        </w:rPr>
        <w:t>project,</w:t>
      </w:r>
      <w:r w:rsidRPr="00FE7553">
        <w:rPr>
          <w:spacing w:val="-4"/>
          <w:sz w:val="23"/>
        </w:rPr>
        <w:t xml:space="preserve"> </w:t>
      </w:r>
      <w:r w:rsidRPr="00FE7553">
        <w:rPr>
          <w:sz w:val="23"/>
        </w:rPr>
        <w:t>output</w:t>
      </w:r>
      <w:r w:rsidRPr="00FE7553">
        <w:rPr>
          <w:spacing w:val="-4"/>
          <w:sz w:val="23"/>
        </w:rPr>
        <w:t xml:space="preserve"> </w:t>
      </w:r>
      <w:r w:rsidRPr="00FE7553">
        <w:rPr>
          <w:sz w:val="23"/>
        </w:rPr>
        <w:t>or</w:t>
      </w:r>
      <w:r w:rsidRPr="00FE7553">
        <w:rPr>
          <w:spacing w:val="-3"/>
          <w:sz w:val="23"/>
        </w:rPr>
        <w:t xml:space="preserve"> </w:t>
      </w:r>
      <w:r w:rsidRPr="00FE7553">
        <w:rPr>
          <w:sz w:val="23"/>
        </w:rPr>
        <w:t>reform</w:t>
      </w:r>
      <w:r w:rsidRPr="00FE7553">
        <w:rPr>
          <w:spacing w:val="-3"/>
          <w:sz w:val="23"/>
        </w:rPr>
        <w:t xml:space="preserve"> </w:t>
      </w:r>
      <w:r w:rsidRPr="00FE7553">
        <w:rPr>
          <w:sz w:val="23"/>
        </w:rPr>
        <w:t>has</w:t>
      </w:r>
      <w:r w:rsidRPr="00FE7553">
        <w:rPr>
          <w:spacing w:val="-2"/>
          <w:sz w:val="23"/>
        </w:rPr>
        <w:t xml:space="preserve"> </w:t>
      </w:r>
      <w:r w:rsidRPr="00FE7553">
        <w:rPr>
          <w:sz w:val="23"/>
        </w:rPr>
        <w:t>been</w:t>
      </w:r>
      <w:r w:rsidRPr="00FE7553">
        <w:rPr>
          <w:spacing w:val="-2"/>
          <w:sz w:val="23"/>
        </w:rPr>
        <w:t xml:space="preserve"> </w:t>
      </w:r>
      <w:r w:rsidRPr="00FE7553">
        <w:rPr>
          <w:sz w:val="23"/>
        </w:rPr>
        <w:t>delivered;</w:t>
      </w:r>
      <w:r w:rsidRPr="00FE7553">
        <w:rPr>
          <w:spacing w:val="-2"/>
          <w:sz w:val="23"/>
        </w:rPr>
        <w:t xml:space="preserve"> </w:t>
      </w:r>
      <w:r w:rsidRPr="00FE7553">
        <w:rPr>
          <w:spacing w:val="-5"/>
          <w:sz w:val="23"/>
        </w:rPr>
        <w:t>or</w:t>
      </w:r>
    </w:p>
    <w:p w:rsidR="00BC0702" w:rsidRPr="00426495" w:rsidRDefault="00623181">
      <w:pPr>
        <w:pStyle w:val="ListParagraph"/>
        <w:numPr>
          <w:ilvl w:val="0"/>
          <w:numId w:val="1"/>
        </w:numPr>
        <w:tabs>
          <w:tab w:val="left" w:pos="1246"/>
        </w:tabs>
        <w:spacing w:before="238" w:line="220" w:lineRule="auto"/>
        <w:ind w:right="104"/>
        <w:rPr>
          <w:sz w:val="23"/>
          <w:highlight w:val="yellow"/>
        </w:rPr>
      </w:pPr>
      <w:proofErr w:type="gramStart"/>
      <w:r w:rsidRPr="00426495">
        <w:rPr>
          <w:sz w:val="23"/>
          <w:highlight w:val="yellow"/>
        </w:rPr>
        <w:t>where</w:t>
      </w:r>
      <w:proofErr w:type="gramEnd"/>
      <w:r w:rsidRPr="00426495">
        <w:rPr>
          <w:sz w:val="23"/>
          <w:highlight w:val="yellow"/>
        </w:rPr>
        <w:t xml:space="preserve"> on-going funding is required to</w:t>
      </w:r>
      <w:r w:rsidRPr="00426495">
        <w:rPr>
          <w:sz w:val="23"/>
          <w:highlight w:val="yellow"/>
        </w:rPr>
        <w:t xml:space="preserve"> maintain a new level of output, such funding may more appropriately be provided through the relevant National </w:t>
      </w:r>
      <w:proofErr w:type="spellStart"/>
      <w:r w:rsidRPr="00426495">
        <w:rPr>
          <w:sz w:val="23"/>
          <w:highlight w:val="yellow"/>
        </w:rPr>
        <w:t>SPP</w:t>
      </w:r>
      <w:proofErr w:type="spellEnd"/>
      <w:r w:rsidRPr="00426495">
        <w:rPr>
          <w:sz w:val="23"/>
          <w:highlight w:val="yellow"/>
        </w:rPr>
        <w:t xml:space="preserve"> Agreement or general revenue assistance.</w:t>
      </w:r>
    </w:p>
    <w:p w:rsidR="00BC0702" w:rsidRPr="00FE7553" w:rsidRDefault="00623181">
      <w:pPr>
        <w:pStyle w:val="BodyText"/>
        <w:spacing w:before="245" w:line="220" w:lineRule="auto"/>
        <w:ind w:right="103"/>
        <w:rPr>
          <w:highlight w:val="cyan"/>
        </w:rPr>
      </w:pPr>
      <w:r w:rsidRPr="00426495">
        <w:rPr>
          <w:highlight w:val="yellow"/>
        </w:rPr>
        <w:t>E24</w:t>
      </w:r>
      <w:r w:rsidRPr="00426495">
        <w:rPr>
          <w:spacing w:val="40"/>
          <w:highlight w:val="yellow"/>
        </w:rPr>
        <w:t xml:space="preserve"> </w:t>
      </w:r>
      <w:r w:rsidRPr="00FE7553">
        <w:rPr>
          <w:highlight w:val="cyan"/>
        </w:rPr>
        <w:t xml:space="preserve">National Partnership reward </w:t>
      </w:r>
      <w:bookmarkStart w:id="0" w:name="_GoBack"/>
      <w:r w:rsidRPr="00FE7553">
        <w:rPr>
          <w:highlight w:val="cyan"/>
        </w:rPr>
        <w:t>payments</w:t>
      </w:r>
      <w:bookmarkEnd w:id="0"/>
      <w:r w:rsidRPr="00FE7553">
        <w:rPr>
          <w:highlight w:val="cyan"/>
        </w:rPr>
        <w:t xml:space="preserve"> would not be paid to a State or Territory until an independ</w:t>
      </w:r>
      <w:r w:rsidRPr="00FE7553">
        <w:rPr>
          <w:highlight w:val="cyan"/>
        </w:rPr>
        <w:t>ent assessment by the COAG Reform Council demonstrates that performance benchmarks have been achieved.</w:t>
      </w:r>
    </w:p>
    <w:p w:rsidR="00BC0702" w:rsidRPr="00FE7553" w:rsidRDefault="00623181">
      <w:pPr>
        <w:pStyle w:val="BodyText"/>
        <w:spacing w:before="245" w:line="220" w:lineRule="auto"/>
        <w:ind w:right="105"/>
      </w:pPr>
      <w:r w:rsidRPr="00426495">
        <w:rPr>
          <w:highlight w:val="yellow"/>
        </w:rPr>
        <w:t>E25</w:t>
      </w:r>
      <w:r w:rsidRPr="00426495">
        <w:rPr>
          <w:spacing w:val="80"/>
          <w:highlight w:val="yellow"/>
        </w:rPr>
        <w:t xml:space="preserve"> </w:t>
      </w:r>
      <w:r w:rsidRPr="00FE7553">
        <w:t>National Partnership agreements in areas within the scope of any National Agreement should link directly to the objectives, outcomes and outputs in t</w:t>
      </w:r>
      <w:r w:rsidRPr="00FE7553">
        <w:t>he relevant National Agreement.</w:t>
      </w:r>
    </w:p>
    <w:p w:rsidR="00BC0702" w:rsidRPr="00FE7553" w:rsidRDefault="00623181">
      <w:pPr>
        <w:pStyle w:val="BodyText"/>
        <w:spacing w:before="240" w:line="223" w:lineRule="auto"/>
        <w:ind w:right="101"/>
      </w:pPr>
      <w:r w:rsidRPr="00426495">
        <w:rPr>
          <w:highlight w:val="yellow"/>
        </w:rPr>
        <w:t>E26</w:t>
      </w:r>
      <w:r w:rsidRPr="00426495">
        <w:rPr>
          <w:spacing w:val="80"/>
          <w:highlight w:val="yellow"/>
        </w:rPr>
        <w:t xml:space="preserve"> </w:t>
      </w:r>
      <w:r w:rsidRPr="00FE7553">
        <w:t>Commonwealth and State officials will reach prior agreement on the nature and content of any events,</w:t>
      </w:r>
      <w:r w:rsidRPr="00FE7553">
        <w:rPr>
          <w:spacing w:val="12"/>
        </w:rPr>
        <w:t xml:space="preserve"> </w:t>
      </w:r>
      <w:r w:rsidRPr="00FE7553">
        <w:t>announcements,</w:t>
      </w:r>
      <w:r w:rsidRPr="00FE7553">
        <w:rPr>
          <w:spacing w:val="14"/>
        </w:rPr>
        <w:t xml:space="preserve"> </w:t>
      </w:r>
      <w:r w:rsidRPr="00FE7553">
        <w:t>promotional</w:t>
      </w:r>
      <w:r w:rsidRPr="00FE7553">
        <w:rPr>
          <w:spacing w:val="16"/>
        </w:rPr>
        <w:t xml:space="preserve"> </w:t>
      </w:r>
      <w:r w:rsidRPr="00FE7553">
        <w:t>material</w:t>
      </w:r>
      <w:r w:rsidRPr="00FE7553">
        <w:rPr>
          <w:spacing w:val="15"/>
        </w:rPr>
        <w:t xml:space="preserve"> </w:t>
      </w:r>
      <w:r w:rsidRPr="00FE7553">
        <w:t>or</w:t>
      </w:r>
      <w:r w:rsidRPr="00FE7553">
        <w:rPr>
          <w:spacing w:val="16"/>
        </w:rPr>
        <w:t xml:space="preserve"> </w:t>
      </w:r>
      <w:r w:rsidRPr="00FE7553">
        <w:t>publicity</w:t>
      </w:r>
      <w:r w:rsidRPr="00FE7553">
        <w:rPr>
          <w:spacing w:val="15"/>
        </w:rPr>
        <w:t xml:space="preserve"> </w:t>
      </w:r>
      <w:r w:rsidRPr="00FE7553">
        <w:t>relating</w:t>
      </w:r>
      <w:r w:rsidRPr="00FE7553">
        <w:rPr>
          <w:spacing w:val="15"/>
        </w:rPr>
        <w:t xml:space="preserve"> </w:t>
      </w:r>
      <w:r w:rsidRPr="00FE7553">
        <w:t>to</w:t>
      </w:r>
      <w:r w:rsidRPr="00FE7553">
        <w:rPr>
          <w:spacing w:val="16"/>
        </w:rPr>
        <w:t xml:space="preserve"> </w:t>
      </w:r>
      <w:r w:rsidRPr="00FE7553">
        <w:t>National</w:t>
      </w:r>
      <w:r w:rsidRPr="00FE7553">
        <w:rPr>
          <w:spacing w:val="15"/>
        </w:rPr>
        <w:t xml:space="preserve"> </w:t>
      </w:r>
      <w:r w:rsidRPr="00FE7553">
        <w:t>Partnerships</w:t>
      </w:r>
      <w:r w:rsidRPr="00FE7553">
        <w:rPr>
          <w:spacing w:val="17"/>
        </w:rPr>
        <w:t xml:space="preserve"> </w:t>
      </w:r>
      <w:r w:rsidRPr="00FE7553">
        <w:rPr>
          <w:spacing w:val="-7"/>
        </w:rPr>
        <w:t>or</w:t>
      </w:r>
    </w:p>
    <w:p w:rsidR="00BC0702" w:rsidRPr="00FE7553" w:rsidRDefault="00BC0702">
      <w:pPr>
        <w:spacing w:line="223" w:lineRule="auto"/>
        <w:sectPr w:rsidR="00BC0702" w:rsidRPr="00FE7553">
          <w:pgSz w:w="11900" w:h="16840"/>
          <w:pgMar w:top="1000" w:right="1020" w:bottom="920" w:left="1020" w:header="709" w:footer="730" w:gutter="0"/>
          <w:cols w:space="720"/>
        </w:sectPr>
      </w:pPr>
    </w:p>
    <w:p w:rsidR="00BC0702" w:rsidRDefault="00623181">
      <w:pPr>
        <w:pStyle w:val="BodyText"/>
        <w:spacing w:before="105" w:line="223" w:lineRule="auto"/>
        <w:ind w:right="101" w:firstLine="0"/>
      </w:pPr>
      <w:proofErr w:type="gramStart"/>
      <w:r w:rsidRPr="00FE7553">
        <w:lastRenderedPageBreak/>
        <w:t>activity</w:t>
      </w:r>
      <w:proofErr w:type="gramEnd"/>
      <w:r w:rsidRPr="00FE7553">
        <w:t xml:space="preserve"> under them. The cooperative nature of National Partnerships, and the roles and contributions of both the Commonwealth and the States and Territories, will be acknowledged and recognised appropriately in any announcement or other promotional materi</w:t>
      </w:r>
      <w:r w:rsidRPr="00FE7553">
        <w:t>al or publicity relating to approved project or program activity, outputs or outcomes, including on signs, through the use of coats of arms or logos and on plaques affixed to new and refurbished buildings. Appropriate Commonwealth and State Government repr</w:t>
      </w:r>
      <w:r w:rsidRPr="00FE7553">
        <w:t>esentatives will be invited to participate in opening ceremonies, product launches or similar events.</w:t>
      </w:r>
    </w:p>
    <w:sectPr w:rsidR="00BC0702">
      <w:pgSz w:w="11900" w:h="16840"/>
      <w:pgMar w:top="1000" w:right="1020" w:bottom="920" w:left="1020" w:header="709"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81" w:rsidRDefault="00623181">
      <w:r>
        <w:separator/>
      </w:r>
    </w:p>
  </w:endnote>
  <w:endnote w:type="continuationSeparator" w:id="0">
    <w:p w:rsidR="00623181" w:rsidRDefault="0062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2" o:spid="_x0000_s2053" type="#_x0000_t202" style="position:absolute;margin-left:55.65pt;margin-top:794.5pt;width:38.2pt;height:13pt;z-index:-15809024;mso-position-horizontal-relative:page;mso-position-vertical-relative:page" filled="f" stroked="f">
          <v:textbox inset="0,0,0,0">
            <w:txbxContent>
              <w:p w:rsidR="00BC0702" w:rsidRDefault="00623181">
                <w:pPr>
                  <w:spacing w:before="20"/>
                  <w:ind w:left="20"/>
                  <w:rPr>
                    <w:sz w:val="18"/>
                  </w:rPr>
                </w:pPr>
                <w:r>
                  <w:rPr>
                    <w:color w:val="3C4A67"/>
                    <w:sz w:val="18"/>
                  </w:rPr>
                  <w:t>Page</w:t>
                </w:r>
                <w:r>
                  <w:rPr>
                    <w:color w:val="3C4A67"/>
                    <w:spacing w:val="-6"/>
                    <w:sz w:val="18"/>
                  </w:rPr>
                  <w:t xml:space="preserve"> </w:t>
                </w:r>
                <w:r>
                  <w:rPr>
                    <w:color w:val="3C4A67"/>
                    <w:sz w:val="18"/>
                  </w:rPr>
                  <w:t>E-</w:t>
                </w:r>
                <w:r>
                  <w:rPr>
                    <w:color w:val="3C4A67"/>
                    <w:spacing w:val="-10"/>
                    <w:sz w:val="18"/>
                  </w:rPr>
                  <w:fldChar w:fldCharType="begin"/>
                </w:r>
                <w:r>
                  <w:rPr>
                    <w:color w:val="3C4A67"/>
                    <w:spacing w:val="-10"/>
                    <w:sz w:val="18"/>
                  </w:rPr>
                  <w:instrText xml:space="preserve"> PAGE </w:instrText>
                </w:r>
                <w:r>
                  <w:rPr>
                    <w:color w:val="3C4A67"/>
                    <w:spacing w:val="-10"/>
                    <w:sz w:val="18"/>
                  </w:rPr>
                  <w:fldChar w:fldCharType="separate"/>
                </w:r>
                <w:r w:rsidR="00A80FA7">
                  <w:rPr>
                    <w:noProof/>
                    <w:color w:val="3C4A67"/>
                    <w:spacing w:val="-10"/>
                    <w:sz w:val="18"/>
                  </w:rPr>
                  <w:t>2</w:t>
                </w:r>
                <w:r>
                  <w:rPr>
                    <w:color w:val="3C4A67"/>
                    <w:spacing w:val="-10"/>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4" type="#_x0000_t202" style="position:absolute;margin-left:504.9pt;margin-top:794.5pt;width:37.6pt;height:13pt;z-index:-15809536;mso-position-horizontal-relative:page;mso-position-vertical-relative:page" filled="f" stroked="f">
          <v:textbox inset="0,0,0,0">
            <w:txbxContent>
              <w:p w:rsidR="00BC0702" w:rsidRDefault="00623181">
                <w:pPr>
                  <w:spacing w:before="20"/>
                  <w:ind w:left="20"/>
                  <w:rPr>
                    <w:sz w:val="18"/>
                  </w:rPr>
                </w:pPr>
                <w:r>
                  <w:rPr>
                    <w:color w:val="3C4A67"/>
                    <w:sz w:val="18"/>
                  </w:rPr>
                  <w:t>Page</w:t>
                </w:r>
                <w:r>
                  <w:rPr>
                    <w:color w:val="3C4A67"/>
                    <w:spacing w:val="-6"/>
                    <w:sz w:val="18"/>
                  </w:rPr>
                  <w:t xml:space="preserve"> </w:t>
                </w:r>
                <w:r>
                  <w:rPr>
                    <w:color w:val="3C4A67"/>
                    <w:sz w:val="18"/>
                  </w:rPr>
                  <w:t>E-</w:t>
                </w:r>
                <w:r>
                  <w:rPr>
                    <w:color w:val="3C4A67"/>
                    <w:spacing w:val="-10"/>
                    <w:sz w:val="18"/>
                  </w:rPr>
                  <w:fldChar w:fldCharType="begin"/>
                </w:r>
                <w:r>
                  <w:rPr>
                    <w:color w:val="3C4A67"/>
                    <w:spacing w:val="-10"/>
                    <w:sz w:val="18"/>
                  </w:rPr>
                  <w:instrText xml:space="preserve"> PAGE </w:instrText>
                </w:r>
                <w:r>
                  <w:rPr>
                    <w:color w:val="3C4A67"/>
                    <w:spacing w:val="-10"/>
                    <w:sz w:val="18"/>
                  </w:rPr>
                  <w:fldChar w:fldCharType="separate"/>
                </w:r>
                <w:r w:rsidR="00A80FA7">
                  <w:rPr>
                    <w:noProof/>
                    <w:color w:val="3C4A67"/>
                    <w:spacing w:val="-10"/>
                    <w:sz w:val="18"/>
                  </w:rPr>
                  <w:t>1</w:t>
                </w:r>
                <w:r>
                  <w:rPr>
                    <w:color w:val="3C4A67"/>
                    <w:spacing w:val="-10"/>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6" o:spid="_x0000_s2049" type="#_x0000_t202" style="position:absolute;margin-left:55.65pt;margin-top:794.5pt;width:38.25pt;height:13pt;z-index:-15806976;mso-position-horizontal-relative:page;mso-position-vertical-relative:page" filled="f" stroked="f">
          <v:textbox inset="0,0,0,0">
            <w:txbxContent>
              <w:p w:rsidR="00BC0702" w:rsidRDefault="00623181">
                <w:pPr>
                  <w:spacing w:before="20"/>
                  <w:ind w:left="20"/>
                  <w:rPr>
                    <w:sz w:val="18"/>
                  </w:rPr>
                </w:pPr>
                <w:r>
                  <w:rPr>
                    <w:color w:val="3C4A67"/>
                    <w:sz w:val="18"/>
                  </w:rPr>
                  <w:t>Page</w:t>
                </w:r>
                <w:r>
                  <w:rPr>
                    <w:color w:val="3C4A67"/>
                    <w:spacing w:val="-6"/>
                    <w:sz w:val="18"/>
                  </w:rPr>
                  <w:t xml:space="preserve"> </w:t>
                </w:r>
                <w:r>
                  <w:rPr>
                    <w:color w:val="3C4A67"/>
                    <w:sz w:val="18"/>
                  </w:rPr>
                  <w:t>E-</w:t>
                </w:r>
                <w:r>
                  <w:rPr>
                    <w:color w:val="3C4A67"/>
                    <w:spacing w:val="-10"/>
                    <w:sz w:val="18"/>
                  </w:rPr>
                  <w:fldChar w:fldCharType="begin"/>
                </w:r>
                <w:r>
                  <w:rPr>
                    <w:color w:val="3C4A67"/>
                    <w:spacing w:val="-10"/>
                    <w:sz w:val="18"/>
                  </w:rPr>
                  <w:instrText xml:space="preserve"> PAGE </w:instrText>
                </w:r>
                <w:r>
                  <w:rPr>
                    <w:color w:val="3C4A67"/>
                    <w:spacing w:val="-10"/>
                    <w:sz w:val="18"/>
                  </w:rPr>
                  <w:fldChar w:fldCharType="separate"/>
                </w:r>
                <w:r w:rsidR="00A80FA7">
                  <w:rPr>
                    <w:noProof/>
                    <w:color w:val="3C4A67"/>
                    <w:spacing w:val="-10"/>
                    <w:sz w:val="18"/>
                  </w:rPr>
                  <w:t>4</w:t>
                </w:r>
                <w:r>
                  <w:rPr>
                    <w:color w:val="3C4A67"/>
                    <w:spacing w:val="-10"/>
                    <w:sz w:val="1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2050" type="#_x0000_t202" style="position:absolute;margin-left:504.9pt;margin-top:794.5pt;width:37.65pt;height:13pt;z-index:-15807488;mso-position-horizontal-relative:page;mso-position-vertical-relative:page" filled="f" stroked="f">
          <v:textbox inset="0,0,0,0">
            <w:txbxContent>
              <w:p w:rsidR="00BC0702" w:rsidRDefault="00623181">
                <w:pPr>
                  <w:spacing w:before="20"/>
                  <w:ind w:left="20"/>
                  <w:rPr>
                    <w:sz w:val="18"/>
                  </w:rPr>
                </w:pPr>
                <w:r>
                  <w:rPr>
                    <w:color w:val="3C4A67"/>
                    <w:sz w:val="18"/>
                  </w:rPr>
                  <w:t>Page</w:t>
                </w:r>
                <w:r>
                  <w:rPr>
                    <w:color w:val="3C4A67"/>
                    <w:spacing w:val="-6"/>
                    <w:sz w:val="18"/>
                  </w:rPr>
                  <w:t xml:space="preserve"> </w:t>
                </w:r>
                <w:r>
                  <w:rPr>
                    <w:color w:val="3C4A67"/>
                    <w:sz w:val="18"/>
                  </w:rPr>
                  <w:t>E-</w:t>
                </w:r>
                <w:r>
                  <w:rPr>
                    <w:color w:val="3C4A67"/>
                    <w:spacing w:val="-10"/>
                    <w:sz w:val="18"/>
                  </w:rPr>
                  <w:fldChar w:fldCharType="begin"/>
                </w:r>
                <w:r>
                  <w:rPr>
                    <w:color w:val="3C4A67"/>
                    <w:spacing w:val="-10"/>
                    <w:sz w:val="18"/>
                  </w:rPr>
                  <w:instrText xml:space="preserve"> PAGE </w:instrText>
                </w:r>
                <w:r>
                  <w:rPr>
                    <w:color w:val="3C4A67"/>
                    <w:spacing w:val="-10"/>
                    <w:sz w:val="18"/>
                  </w:rPr>
                  <w:fldChar w:fldCharType="separate"/>
                </w:r>
                <w:r w:rsidR="00A80FA7">
                  <w:rPr>
                    <w:noProof/>
                    <w:color w:val="3C4A67"/>
                    <w:spacing w:val="-10"/>
                    <w:sz w:val="18"/>
                  </w:rPr>
                  <w:t>5</w:t>
                </w:r>
                <w:r>
                  <w:rPr>
                    <w:color w:val="3C4A67"/>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81" w:rsidRDefault="00623181">
      <w:r>
        <w:separator/>
      </w:r>
    </w:p>
  </w:footnote>
  <w:footnote w:type="continuationSeparator" w:id="0">
    <w:p w:rsidR="00623181" w:rsidRDefault="0062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3" o:spid="_x0000_s2052" type="#_x0000_t202" style="position:absolute;margin-left:55.65pt;margin-top:34.45pt;width:228.1pt;height:13pt;z-index:-15808512;mso-position-horizontal-relative:page;mso-position-vertical-relative:page" filled="f" stroked="f">
          <v:textbox inset="0,0,0,0">
            <w:txbxContent>
              <w:p w:rsidR="00BC0702" w:rsidRDefault="00623181">
                <w:pPr>
                  <w:spacing w:before="20"/>
                  <w:ind w:left="20"/>
                  <w:rPr>
                    <w:sz w:val="18"/>
                  </w:rPr>
                </w:pPr>
                <w:r>
                  <w:rPr>
                    <w:color w:val="3C4A67"/>
                    <w:sz w:val="18"/>
                  </w:rPr>
                  <w:t>Intergovernmental</w:t>
                </w:r>
                <w:r>
                  <w:rPr>
                    <w:color w:val="3C4A67"/>
                    <w:spacing w:val="-6"/>
                    <w:sz w:val="18"/>
                  </w:rPr>
                  <w:t xml:space="preserve"> </w:t>
                </w:r>
                <w:r>
                  <w:rPr>
                    <w:color w:val="3C4A67"/>
                    <w:sz w:val="18"/>
                  </w:rPr>
                  <w:t>Agreement</w:t>
                </w:r>
                <w:r>
                  <w:rPr>
                    <w:color w:val="3C4A67"/>
                    <w:spacing w:val="-6"/>
                    <w:sz w:val="18"/>
                  </w:rPr>
                  <w:t xml:space="preserve"> </w:t>
                </w:r>
                <w:r>
                  <w:rPr>
                    <w:color w:val="3C4A67"/>
                    <w:sz w:val="18"/>
                  </w:rPr>
                  <w:t>on</w:t>
                </w:r>
                <w:r>
                  <w:rPr>
                    <w:color w:val="3C4A67"/>
                    <w:spacing w:val="-4"/>
                    <w:sz w:val="18"/>
                  </w:rPr>
                  <w:t xml:space="preserve"> </w:t>
                </w:r>
                <w:r>
                  <w:rPr>
                    <w:color w:val="3C4A67"/>
                    <w:sz w:val="18"/>
                  </w:rPr>
                  <w:t>Federal</w:t>
                </w:r>
                <w:r>
                  <w:rPr>
                    <w:color w:val="3C4A67"/>
                    <w:spacing w:val="-5"/>
                    <w:sz w:val="18"/>
                  </w:rPr>
                  <w:t xml:space="preserve"> </w:t>
                </w:r>
                <w:r>
                  <w:rPr>
                    <w:color w:val="3C4A67"/>
                    <w:sz w:val="18"/>
                  </w:rPr>
                  <w:t>Financial</w:t>
                </w:r>
                <w:r>
                  <w:rPr>
                    <w:color w:val="3C4A67"/>
                    <w:spacing w:val="-6"/>
                    <w:sz w:val="18"/>
                  </w:rPr>
                  <w:t xml:space="preserve"> </w:t>
                </w:r>
                <w:r>
                  <w:rPr>
                    <w:color w:val="3C4A67"/>
                    <w:spacing w:val="-2"/>
                    <w:sz w:val="18"/>
                  </w:rPr>
                  <w:t>Relations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02" w:rsidRDefault="00623181">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docshape4" o:spid="_x0000_s2051" type="#_x0000_t202" style="position:absolute;margin-left:347pt;margin-top:34.45pt;width:192.35pt;height:13pt;z-index:-15808000;mso-position-horizontal-relative:page;mso-position-vertical-relative:page" filled="f" stroked="f">
          <v:textbox inset="0,0,0,0">
            <w:txbxContent>
              <w:p w:rsidR="00BC0702" w:rsidRDefault="00623181">
                <w:pPr>
                  <w:spacing w:before="20"/>
                  <w:ind w:left="20"/>
                  <w:rPr>
                    <w:sz w:val="18"/>
                  </w:rPr>
                </w:pPr>
                <w:r>
                  <w:rPr>
                    <w:color w:val="3C4A67"/>
                    <w:sz w:val="18"/>
                  </w:rPr>
                  <w:t>Schedule</w:t>
                </w:r>
                <w:r>
                  <w:rPr>
                    <w:color w:val="3C4A67"/>
                    <w:spacing w:val="-2"/>
                    <w:sz w:val="18"/>
                  </w:rPr>
                  <w:t xml:space="preserve"> </w:t>
                </w:r>
                <w:r>
                  <w:rPr>
                    <w:color w:val="3C4A67"/>
                    <w:sz w:val="18"/>
                  </w:rPr>
                  <w:t>E</w:t>
                </w:r>
                <w:r>
                  <w:rPr>
                    <w:color w:val="3C4A67"/>
                    <w:spacing w:val="-4"/>
                    <w:sz w:val="18"/>
                  </w:rPr>
                  <w:t xml:space="preserve"> </w:t>
                </w:r>
                <w:r>
                  <w:rPr>
                    <w:color w:val="3C4A67"/>
                    <w:sz w:val="18"/>
                  </w:rPr>
                  <w:t>—</w:t>
                </w:r>
                <w:r>
                  <w:rPr>
                    <w:color w:val="3C4A67"/>
                    <w:spacing w:val="-3"/>
                    <w:sz w:val="18"/>
                  </w:rPr>
                  <w:t xml:space="preserve"> </w:t>
                </w:r>
                <w:r>
                  <w:rPr>
                    <w:color w:val="3C4A67"/>
                    <w:sz w:val="18"/>
                  </w:rPr>
                  <w:t>National</w:t>
                </w:r>
                <w:r>
                  <w:rPr>
                    <w:color w:val="3C4A67"/>
                    <w:spacing w:val="-3"/>
                    <w:sz w:val="18"/>
                  </w:rPr>
                  <w:t xml:space="preserve"> </w:t>
                </w:r>
                <w:r>
                  <w:rPr>
                    <w:color w:val="3C4A67"/>
                    <w:sz w:val="18"/>
                  </w:rPr>
                  <w:t>policy</w:t>
                </w:r>
                <w:r>
                  <w:rPr>
                    <w:color w:val="3C4A67"/>
                    <w:spacing w:val="-4"/>
                    <w:sz w:val="18"/>
                  </w:rPr>
                  <w:t xml:space="preserve"> </w:t>
                </w:r>
                <w:r>
                  <w:rPr>
                    <w:color w:val="3C4A67"/>
                    <w:sz w:val="18"/>
                  </w:rPr>
                  <w:t>and</w:t>
                </w:r>
                <w:r>
                  <w:rPr>
                    <w:color w:val="3C4A67"/>
                    <w:spacing w:val="-3"/>
                    <w:sz w:val="18"/>
                  </w:rPr>
                  <w:t xml:space="preserve"> </w:t>
                </w:r>
                <w:r>
                  <w:rPr>
                    <w:color w:val="3C4A67"/>
                    <w:sz w:val="18"/>
                  </w:rPr>
                  <w:t>reform</w:t>
                </w:r>
                <w:r>
                  <w:rPr>
                    <w:color w:val="3C4A67"/>
                    <w:spacing w:val="-4"/>
                    <w:sz w:val="18"/>
                  </w:rPr>
                  <w:t xml:space="preserve"> </w:t>
                </w:r>
                <w:r>
                  <w:rPr>
                    <w:color w:val="3C4A67"/>
                    <w:spacing w:val="-2"/>
                    <w:sz w:val="18"/>
                  </w:rPr>
                  <w:t>objectives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1813"/>
    <w:multiLevelType w:val="hybridMultilevel"/>
    <w:tmpl w:val="AFE0BEF0"/>
    <w:lvl w:ilvl="0" w:tplc="6E680B78">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4206689A">
      <w:numFmt w:val="bullet"/>
      <w:lvlText w:val="•"/>
      <w:lvlJc w:val="left"/>
      <w:pPr>
        <w:ind w:left="2102" w:hanging="567"/>
      </w:pPr>
      <w:rPr>
        <w:rFonts w:hint="default"/>
        <w:lang w:val="en-US" w:eastAsia="en-US" w:bidi="ar-SA"/>
      </w:rPr>
    </w:lvl>
    <w:lvl w:ilvl="2" w:tplc="689C8D06">
      <w:numFmt w:val="bullet"/>
      <w:lvlText w:val="•"/>
      <w:lvlJc w:val="left"/>
      <w:pPr>
        <w:ind w:left="2964" w:hanging="567"/>
      </w:pPr>
      <w:rPr>
        <w:rFonts w:hint="default"/>
        <w:lang w:val="en-US" w:eastAsia="en-US" w:bidi="ar-SA"/>
      </w:rPr>
    </w:lvl>
    <w:lvl w:ilvl="3" w:tplc="9BCE9494">
      <w:numFmt w:val="bullet"/>
      <w:lvlText w:val="•"/>
      <w:lvlJc w:val="left"/>
      <w:pPr>
        <w:ind w:left="3826" w:hanging="567"/>
      </w:pPr>
      <w:rPr>
        <w:rFonts w:hint="default"/>
        <w:lang w:val="en-US" w:eastAsia="en-US" w:bidi="ar-SA"/>
      </w:rPr>
    </w:lvl>
    <w:lvl w:ilvl="4" w:tplc="7B04C716">
      <w:numFmt w:val="bullet"/>
      <w:lvlText w:val="•"/>
      <w:lvlJc w:val="left"/>
      <w:pPr>
        <w:ind w:left="4688" w:hanging="567"/>
      </w:pPr>
      <w:rPr>
        <w:rFonts w:hint="default"/>
        <w:lang w:val="en-US" w:eastAsia="en-US" w:bidi="ar-SA"/>
      </w:rPr>
    </w:lvl>
    <w:lvl w:ilvl="5" w:tplc="20909808">
      <w:numFmt w:val="bullet"/>
      <w:lvlText w:val="•"/>
      <w:lvlJc w:val="left"/>
      <w:pPr>
        <w:ind w:left="5550" w:hanging="567"/>
      </w:pPr>
      <w:rPr>
        <w:rFonts w:hint="default"/>
        <w:lang w:val="en-US" w:eastAsia="en-US" w:bidi="ar-SA"/>
      </w:rPr>
    </w:lvl>
    <w:lvl w:ilvl="6" w:tplc="D4FE9F46">
      <w:numFmt w:val="bullet"/>
      <w:lvlText w:val="•"/>
      <w:lvlJc w:val="left"/>
      <w:pPr>
        <w:ind w:left="6412" w:hanging="567"/>
      </w:pPr>
      <w:rPr>
        <w:rFonts w:hint="default"/>
        <w:lang w:val="en-US" w:eastAsia="en-US" w:bidi="ar-SA"/>
      </w:rPr>
    </w:lvl>
    <w:lvl w:ilvl="7" w:tplc="DAA6B922">
      <w:numFmt w:val="bullet"/>
      <w:lvlText w:val="•"/>
      <w:lvlJc w:val="left"/>
      <w:pPr>
        <w:ind w:left="7274" w:hanging="567"/>
      </w:pPr>
      <w:rPr>
        <w:rFonts w:hint="default"/>
        <w:lang w:val="en-US" w:eastAsia="en-US" w:bidi="ar-SA"/>
      </w:rPr>
    </w:lvl>
    <w:lvl w:ilvl="8" w:tplc="FC0AC90E">
      <w:numFmt w:val="bullet"/>
      <w:lvlText w:val="•"/>
      <w:lvlJc w:val="left"/>
      <w:pPr>
        <w:ind w:left="8136" w:hanging="567"/>
      </w:pPr>
      <w:rPr>
        <w:rFonts w:hint="default"/>
        <w:lang w:val="en-US" w:eastAsia="en-US" w:bidi="ar-SA"/>
      </w:rPr>
    </w:lvl>
  </w:abstractNum>
  <w:abstractNum w:abstractNumId="1" w15:restartNumberingAfterBreak="0">
    <w:nsid w:val="3BFE36AC"/>
    <w:multiLevelType w:val="hybridMultilevel"/>
    <w:tmpl w:val="6310DB0E"/>
    <w:lvl w:ilvl="0" w:tplc="3C3C28AC">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9130567E">
      <w:numFmt w:val="bullet"/>
      <w:lvlText w:val="•"/>
      <w:lvlJc w:val="left"/>
      <w:pPr>
        <w:ind w:left="2102" w:hanging="567"/>
      </w:pPr>
      <w:rPr>
        <w:rFonts w:hint="default"/>
        <w:lang w:val="en-US" w:eastAsia="en-US" w:bidi="ar-SA"/>
      </w:rPr>
    </w:lvl>
    <w:lvl w:ilvl="2" w:tplc="B3C047CA">
      <w:numFmt w:val="bullet"/>
      <w:lvlText w:val="•"/>
      <w:lvlJc w:val="left"/>
      <w:pPr>
        <w:ind w:left="2964" w:hanging="567"/>
      </w:pPr>
      <w:rPr>
        <w:rFonts w:hint="default"/>
        <w:lang w:val="en-US" w:eastAsia="en-US" w:bidi="ar-SA"/>
      </w:rPr>
    </w:lvl>
    <w:lvl w:ilvl="3" w:tplc="636EE4D2">
      <w:numFmt w:val="bullet"/>
      <w:lvlText w:val="•"/>
      <w:lvlJc w:val="left"/>
      <w:pPr>
        <w:ind w:left="3826" w:hanging="567"/>
      </w:pPr>
      <w:rPr>
        <w:rFonts w:hint="default"/>
        <w:lang w:val="en-US" w:eastAsia="en-US" w:bidi="ar-SA"/>
      </w:rPr>
    </w:lvl>
    <w:lvl w:ilvl="4" w:tplc="D54EAFB8">
      <w:numFmt w:val="bullet"/>
      <w:lvlText w:val="•"/>
      <w:lvlJc w:val="left"/>
      <w:pPr>
        <w:ind w:left="4688" w:hanging="567"/>
      </w:pPr>
      <w:rPr>
        <w:rFonts w:hint="default"/>
        <w:lang w:val="en-US" w:eastAsia="en-US" w:bidi="ar-SA"/>
      </w:rPr>
    </w:lvl>
    <w:lvl w:ilvl="5" w:tplc="DACC7A9C">
      <w:numFmt w:val="bullet"/>
      <w:lvlText w:val="•"/>
      <w:lvlJc w:val="left"/>
      <w:pPr>
        <w:ind w:left="5550" w:hanging="567"/>
      </w:pPr>
      <w:rPr>
        <w:rFonts w:hint="default"/>
        <w:lang w:val="en-US" w:eastAsia="en-US" w:bidi="ar-SA"/>
      </w:rPr>
    </w:lvl>
    <w:lvl w:ilvl="6" w:tplc="2B049FA4">
      <w:numFmt w:val="bullet"/>
      <w:lvlText w:val="•"/>
      <w:lvlJc w:val="left"/>
      <w:pPr>
        <w:ind w:left="6412" w:hanging="567"/>
      </w:pPr>
      <w:rPr>
        <w:rFonts w:hint="default"/>
        <w:lang w:val="en-US" w:eastAsia="en-US" w:bidi="ar-SA"/>
      </w:rPr>
    </w:lvl>
    <w:lvl w:ilvl="7" w:tplc="03264382">
      <w:numFmt w:val="bullet"/>
      <w:lvlText w:val="•"/>
      <w:lvlJc w:val="left"/>
      <w:pPr>
        <w:ind w:left="7274" w:hanging="567"/>
      </w:pPr>
      <w:rPr>
        <w:rFonts w:hint="default"/>
        <w:lang w:val="en-US" w:eastAsia="en-US" w:bidi="ar-SA"/>
      </w:rPr>
    </w:lvl>
    <w:lvl w:ilvl="8" w:tplc="3490EA16">
      <w:numFmt w:val="bullet"/>
      <w:lvlText w:val="•"/>
      <w:lvlJc w:val="left"/>
      <w:pPr>
        <w:ind w:left="8136" w:hanging="567"/>
      </w:pPr>
      <w:rPr>
        <w:rFonts w:hint="default"/>
        <w:lang w:val="en-US" w:eastAsia="en-US" w:bidi="ar-SA"/>
      </w:rPr>
    </w:lvl>
  </w:abstractNum>
  <w:abstractNum w:abstractNumId="2" w15:restartNumberingAfterBreak="0">
    <w:nsid w:val="40A95D26"/>
    <w:multiLevelType w:val="hybridMultilevel"/>
    <w:tmpl w:val="AF68DD7A"/>
    <w:lvl w:ilvl="0" w:tplc="2A267F5A">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08A63890">
      <w:numFmt w:val="bullet"/>
      <w:lvlText w:val="•"/>
      <w:lvlJc w:val="left"/>
      <w:pPr>
        <w:ind w:left="2102" w:hanging="567"/>
      </w:pPr>
      <w:rPr>
        <w:rFonts w:hint="default"/>
        <w:lang w:val="en-US" w:eastAsia="en-US" w:bidi="ar-SA"/>
      </w:rPr>
    </w:lvl>
    <w:lvl w:ilvl="2" w:tplc="6974068E">
      <w:numFmt w:val="bullet"/>
      <w:lvlText w:val="•"/>
      <w:lvlJc w:val="left"/>
      <w:pPr>
        <w:ind w:left="2964" w:hanging="567"/>
      </w:pPr>
      <w:rPr>
        <w:rFonts w:hint="default"/>
        <w:lang w:val="en-US" w:eastAsia="en-US" w:bidi="ar-SA"/>
      </w:rPr>
    </w:lvl>
    <w:lvl w:ilvl="3" w:tplc="C78CDB8C">
      <w:numFmt w:val="bullet"/>
      <w:lvlText w:val="•"/>
      <w:lvlJc w:val="left"/>
      <w:pPr>
        <w:ind w:left="3826" w:hanging="567"/>
      </w:pPr>
      <w:rPr>
        <w:rFonts w:hint="default"/>
        <w:lang w:val="en-US" w:eastAsia="en-US" w:bidi="ar-SA"/>
      </w:rPr>
    </w:lvl>
    <w:lvl w:ilvl="4" w:tplc="1B1EC528">
      <w:numFmt w:val="bullet"/>
      <w:lvlText w:val="•"/>
      <w:lvlJc w:val="left"/>
      <w:pPr>
        <w:ind w:left="4688" w:hanging="567"/>
      </w:pPr>
      <w:rPr>
        <w:rFonts w:hint="default"/>
        <w:lang w:val="en-US" w:eastAsia="en-US" w:bidi="ar-SA"/>
      </w:rPr>
    </w:lvl>
    <w:lvl w:ilvl="5" w:tplc="244E086A">
      <w:numFmt w:val="bullet"/>
      <w:lvlText w:val="•"/>
      <w:lvlJc w:val="left"/>
      <w:pPr>
        <w:ind w:left="5550" w:hanging="567"/>
      </w:pPr>
      <w:rPr>
        <w:rFonts w:hint="default"/>
        <w:lang w:val="en-US" w:eastAsia="en-US" w:bidi="ar-SA"/>
      </w:rPr>
    </w:lvl>
    <w:lvl w:ilvl="6" w:tplc="3EEAFF66">
      <w:numFmt w:val="bullet"/>
      <w:lvlText w:val="•"/>
      <w:lvlJc w:val="left"/>
      <w:pPr>
        <w:ind w:left="6412" w:hanging="567"/>
      </w:pPr>
      <w:rPr>
        <w:rFonts w:hint="default"/>
        <w:lang w:val="en-US" w:eastAsia="en-US" w:bidi="ar-SA"/>
      </w:rPr>
    </w:lvl>
    <w:lvl w:ilvl="7" w:tplc="98986C4C">
      <w:numFmt w:val="bullet"/>
      <w:lvlText w:val="•"/>
      <w:lvlJc w:val="left"/>
      <w:pPr>
        <w:ind w:left="7274" w:hanging="567"/>
      </w:pPr>
      <w:rPr>
        <w:rFonts w:hint="default"/>
        <w:lang w:val="en-US" w:eastAsia="en-US" w:bidi="ar-SA"/>
      </w:rPr>
    </w:lvl>
    <w:lvl w:ilvl="8" w:tplc="1BBA1B0C">
      <w:numFmt w:val="bullet"/>
      <w:lvlText w:val="•"/>
      <w:lvlJc w:val="left"/>
      <w:pPr>
        <w:ind w:left="8136" w:hanging="567"/>
      </w:pPr>
      <w:rPr>
        <w:rFonts w:hint="default"/>
        <w:lang w:val="en-US" w:eastAsia="en-US" w:bidi="ar-SA"/>
      </w:rPr>
    </w:lvl>
  </w:abstractNum>
  <w:abstractNum w:abstractNumId="3" w15:restartNumberingAfterBreak="0">
    <w:nsid w:val="67A2719C"/>
    <w:multiLevelType w:val="hybridMultilevel"/>
    <w:tmpl w:val="84505542"/>
    <w:lvl w:ilvl="0" w:tplc="2C505FB8">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6C660D62">
      <w:start w:val="1"/>
      <w:numFmt w:val="lowerRoman"/>
      <w:lvlText w:val="(%2)"/>
      <w:lvlJc w:val="left"/>
      <w:pPr>
        <w:ind w:left="1672" w:hanging="428"/>
      </w:pPr>
      <w:rPr>
        <w:rFonts w:ascii="Corbel" w:eastAsia="Corbel" w:hAnsi="Corbel" w:cs="Corbel" w:hint="default"/>
        <w:b w:val="0"/>
        <w:bCs w:val="0"/>
        <w:i w:val="0"/>
        <w:iCs w:val="0"/>
        <w:spacing w:val="-1"/>
        <w:w w:val="100"/>
        <w:sz w:val="23"/>
        <w:szCs w:val="23"/>
        <w:lang w:val="en-US" w:eastAsia="en-US" w:bidi="ar-SA"/>
      </w:rPr>
    </w:lvl>
    <w:lvl w:ilvl="2" w:tplc="E02ECA88">
      <w:numFmt w:val="bullet"/>
      <w:lvlText w:val="•"/>
      <w:lvlJc w:val="left"/>
      <w:pPr>
        <w:ind w:left="2588" w:hanging="428"/>
      </w:pPr>
      <w:rPr>
        <w:rFonts w:hint="default"/>
        <w:lang w:val="en-US" w:eastAsia="en-US" w:bidi="ar-SA"/>
      </w:rPr>
    </w:lvl>
    <w:lvl w:ilvl="3" w:tplc="3CD89D56">
      <w:numFmt w:val="bullet"/>
      <w:lvlText w:val="•"/>
      <w:lvlJc w:val="left"/>
      <w:pPr>
        <w:ind w:left="3497" w:hanging="428"/>
      </w:pPr>
      <w:rPr>
        <w:rFonts w:hint="default"/>
        <w:lang w:val="en-US" w:eastAsia="en-US" w:bidi="ar-SA"/>
      </w:rPr>
    </w:lvl>
    <w:lvl w:ilvl="4" w:tplc="79F88CD2">
      <w:numFmt w:val="bullet"/>
      <w:lvlText w:val="•"/>
      <w:lvlJc w:val="left"/>
      <w:pPr>
        <w:ind w:left="4406" w:hanging="428"/>
      </w:pPr>
      <w:rPr>
        <w:rFonts w:hint="default"/>
        <w:lang w:val="en-US" w:eastAsia="en-US" w:bidi="ar-SA"/>
      </w:rPr>
    </w:lvl>
    <w:lvl w:ilvl="5" w:tplc="B84494A8">
      <w:numFmt w:val="bullet"/>
      <w:lvlText w:val="•"/>
      <w:lvlJc w:val="left"/>
      <w:pPr>
        <w:ind w:left="5315" w:hanging="428"/>
      </w:pPr>
      <w:rPr>
        <w:rFonts w:hint="default"/>
        <w:lang w:val="en-US" w:eastAsia="en-US" w:bidi="ar-SA"/>
      </w:rPr>
    </w:lvl>
    <w:lvl w:ilvl="6" w:tplc="918AC1B0">
      <w:numFmt w:val="bullet"/>
      <w:lvlText w:val="•"/>
      <w:lvlJc w:val="left"/>
      <w:pPr>
        <w:ind w:left="6224" w:hanging="428"/>
      </w:pPr>
      <w:rPr>
        <w:rFonts w:hint="default"/>
        <w:lang w:val="en-US" w:eastAsia="en-US" w:bidi="ar-SA"/>
      </w:rPr>
    </w:lvl>
    <w:lvl w:ilvl="7" w:tplc="FD30BF88">
      <w:numFmt w:val="bullet"/>
      <w:lvlText w:val="•"/>
      <w:lvlJc w:val="left"/>
      <w:pPr>
        <w:ind w:left="7133" w:hanging="428"/>
      </w:pPr>
      <w:rPr>
        <w:rFonts w:hint="default"/>
        <w:lang w:val="en-US" w:eastAsia="en-US" w:bidi="ar-SA"/>
      </w:rPr>
    </w:lvl>
    <w:lvl w:ilvl="8" w:tplc="42F63EC2">
      <w:numFmt w:val="bullet"/>
      <w:lvlText w:val="•"/>
      <w:lvlJc w:val="left"/>
      <w:pPr>
        <w:ind w:left="8042" w:hanging="428"/>
      </w:pPr>
      <w:rPr>
        <w:rFonts w:hint="default"/>
        <w:lang w:val="en-US" w:eastAsia="en-US" w:bidi="ar-SA"/>
      </w:rPr>
    </w:lvl>
  </w:abstractNum>
  <w:abstractNum w:abstractNumId="4" w15:restartNumberingAfterBreak="0">
    <w:nsid w:val="6E464F26"/>
    <w:multiLevelType w:val="hybridMultilevel"/>
    <w:tmpl w:val="6A6A02F8"/>
    <w:lvl w:ilvl="0" w:tplc="237E034A">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9D7663E4">
      <w:numFmt w:val="bullet"/>
      <w:lvlText w:val="•"/>
      <w:lvlJc w:val="left"/>
      <w:pPr>
        <w:ind w:left="2102" w:hanging="567"/>
      </w:pPr>
      <w:rPr>
        <w:rFonts w:hint="default"/>
        <w:lang w:val="en-US" w:eastAsia="en-US" w:bidi="ar-SA"/>
      </w:rPr>
    </w:lvl>
    <w:lvl w:ilvl="2" w:tplc="AE3CC84A">
      <w:numFmt w:val="bullet"/>
      <w:lvlText w:val="•"/>
      <w:lvlJc w:val="left"/>
      <w:pPr>
        <w:ind w:left="2964" w:hanging="567"/>
      </w:pPr>
      <w:rPr>
        <w:rFonts w:hint="default"/>
        <w:lang w:val="en-US" w:eastAsia="en-US" w:bidi="ar-SA"/>
      </w:rPr>
    </w:lvl>
    <w:lvl w:ilvl="3" w:tplc="5844A428">
      <w:numFmt w:val="bullet"/>
      <w:lvlText w:val="•"/>
      <w:lvlJc w:val="left"/>
      <w:pPr>
        <w:ind w:left="3826" w:hanging="567"/>
      </w:pPr>
      <w:rPr>
        <w:rFonts w:hint="default"/>
        <w:lang w:val="en-US" w:eastAsia="en-US" w:bidi="ar-SA"/>
      </w:rPr>
    </w:lvl>
    <w:lvl w:ilvl="4" w:tplc="009485EA">
      <w:numFmt w:val="bullet"/>
      <w:lvlText w:val="•"/>
      <w:lvlJc w:val="left"/>
      <w:pPr>
        <w:ind w:left="4688" w:hanging="567"/>
      </w:pPr>
      <w:rPr>
        <w:rFonts w:hint="default"/>
        <w:lang w:val="en-US" w:eastAsia="en-US" w:bidi="ar-SA"/>
      </w:rPr>
    </w:lvl>
    <w:lvl w:ilvl="5" w:tplc="012A207C">
      <w:numFmt w:val="bullet"/>
      <w:lvlText w:val="•"/>
      <w:lvlJc w:val="left"/>
      <w:pPr>
        <w:ind w:left="5550" w:hanging="567"/>
      </w:pPr>
      <w:rPr>
        <w:rFonts w:hint="default"/>
        <w:lang w:val="en-US" w:eastAsia="en-US" w:bidi="ar-SA"/>
      </w:rPr>
    </w:lvl>
    <w:lvl w:ilvl="6" w:tplc="AC28298A">
      <w:numFmt w:val="bullet"/>
      <w:lvlText w:val="•"/>
      <w:lvlJc w:val="left"/>
      <w:pPr>
        <w:ind w:left="6412" w:hanging="567"/>
      </w:pPr>
      <w:rPr>
        <w:rFonts w:hint="default"/>
        <w:lang w:val="en-US" w:eastAsia="en-US" w:bidi="ar-SA"/>
      </w:rPr>
    </w:lvl>
    <w:lvl w:ilvl="7" w:tplc="0710294C">
      <w:numFmt w:val="bullet"/>
      <w:lvlText w:val="•"/>
      <w:lvlJc w:val="left"/>
      <w:pPr>
        <w:ind w:left="7274" w:hanging="567"/>
      </w:pPr>
      <w:rPr>
        <w:rFonts w:hint="default"/>
        <w:lang w:val="en-US" w:eastAsia="en-US" w:bidi="ar-SA"/>
      </w:rPr>
    </w:lvl>
    <w:lvl w:ilvl="8" w:tplc="D77C5468">
      <w:numFmt w:val="bullet"/>
      <w:lvlText w:val="•"/>
      <w:lvlJc w:val="left"/>
      <w:pPr>
        <w:ind w:left="8136" w:hanging="567"/>
      </w:pPr>
      <w:rPr>
        <w:rFonts w:hint="default"/>
        <w:lang w:val="en-US" w:eastAsia="en-US" w:bidi="ar-SA"/>
      </w:rPr>
    </w:lvl>
  </w:abstractNum>
  <w:abstractNum w:abstractNumId="5" w15:restartNumberingAfterBreak="0">
    <w:nsid w:val="7F3329D5"/>
    <w:multiLevelType w:val="hybridMultilevel"/>
    <w:tmpl w:val="F0EAEBCC"/>
    <w:lvl w:ilvl="0" w:tplc="8A707096">
      <w:start w:val="1"/>
      <w:numFmt w:val="lowerLetter"/>
      <w:lvlText w:val="(%1)"/>
      <w:lvlJc w:val="left"/>
      <w:pPr>
        <w:ind w:left="1245" w:hanging="567"/>
      </w:pPr>
      <w:rPr>
        <w:rFonts w:ascii="Corbel" w:eastAsia="Corbel" w:hAnsi="Corbel" w:cs="Corbel" w:hint="default"/>
        <w:b w:val="0"/>
        <w:bCs w:val="0"/>
        <w:i w:val="0"/>
        <w:iCs w:val="0"/>
        <w:spacing w:val="-1"/>
        <w:w w:val="100"/>
        <w:sz w:val="21"/>
        <w:szCs w:val="21"/>
        <w:lang w:val="en-US" w:eastAsia="en-US" w:bidi="ar-SA"/>
      </w:rPr>
    </w:lvl>
    <w:lvl w:ilvl="1" w:tplc="A9966E2C">
      <w:numFmt w:val="bullet"/>
      <w:lvlText w:val="•"/>
      <w:lvlJc w:val="left"/>
      <w:pPr>
        <w:ind w:left="2102" w:hanging="567"/>
      </w:pPr>
      <w:rPr>
        <w:rFonts w:hint="default"/>
        <w:lang w:val="en-US" w:eastAsia="en-US" w:bidi="ar-SA"/>
      </w:rPr>
    </w:lvl>
    <w:lvl w:ilvl="2" w:tplc="FF3AE608">
      <w:numFmt w:val="bullet"/>
      <w:lvlText w:val="•"/>
      <w:lvlJc w:val="left"/>
      <w:pPr>
        <w:ind w:left="2964" w:hanging="567"/>
      </w:pPr>
      <w:rPr>
        <w:rFonts w:hint="default"/>
        <w:lang w:val="en-US" w:eastAsia="en-US" w:bidi="ar-SA"/>
      </w:rPr>
    </w:lvl>
    <w:lvl w:ilvl="3" w:tplc="7494B0F0">
      <w:numFmt w:val="bullet"/>
      <w:lvlText w:val="•"/>
      <w:lvlJc w:val="left"/>
      <w:pPr>
        <w:ind w:left="3826" w:hanging="567"/>
      </w:pPr>
      <w:rPr>
        <w:rFonts w:hint="default"/>
        <w:lang w:val="en-US" w:eastAsia="en-US" w:bidi="ar-SA"/>
      </w:rPr>
    </w:lvl>
    <w:lvl w:ilvl="4" w:tplc="7E72543E">
      <w:numFmt w:val="bullet"/>
      <w:lvlText w:val="•"/>
      <w:lvlJc w:val="left"/>
      <w:pPr>
        <w:ind w:left="4688" w:hanging="567"/>
      </w:pPr>
      <w:rPr>
        <w:rFonts w:hint="default"/>
        <w:lang w:val="en-US" w:eastAsia="en-US" w:bidi="ar-SA"/>
      </w:rPr>
    </w:lvl>
    <w:lvl w:ilvl="5" w:tplc="65362252">
      <w:numFmt w:val="bullet"/>
      <w:lvlText w:val="•"/>
      <w:lvlJc w:val="left"/>
      <w:pPr>
        <w:ind w:left="5550" w:hanging="567"/>
      </w:pPr>
      <w:rPr>
        <w:rFonts w:hint="default"/>
        <w:lang w:val="en-US" w:eastAsia="en-US" w:bidi="ar-SA"/>
      </w:rPr>
    </w:lvl>
    <w:lvl w:ilvl="6" w:tplc="101EADD6">
      <w:numFmt w:val="bullet"/>
      <w:lvlText w:val="•"/>
      <w:lvlJc w:val="left"/>
      <w:pPr>
        <w:ind w:left="6412" w:hanging="567"/>
      </w:pPr>
      <w:rPr>
        <w:rFonts w:hint="default"/>
        <w:lang w:val="en-US" w:eastAsia="en-US" w:bidi="ar-SA"/>
      </w:rPr>
    </w:lvl>
    <w:lvl w:ilvl="7" w:tplc="557271B6">
      <w:numFmt w:val="bullet"/>
      <w:lvlText w:val="•"/>
      <w:lvlJc w:val="left"/>
      <w:pPr>
        <w:ind w:left="7274" w:hanging="567"/>
      </w:pPr>
      <w:rPr>
        <w:rFonts w:hint="default"/>
        <w:lang w:val="en-US" w:eastAsia="en-US" w:bidi="ar-SA"/>
      </w:rPr>
    </w:lvl>
    <w:lvl w:ilvl="8" w:tplc="C6F407DE">
      <w:numFmt w:val="bullet"/>
      <w:lvlText w:val="•"/>
      <w:lvlJc w:val="left"/>
      <w:pPr>
        <w:ind w:left="8136" w:hanging="567"/>
      </w:pPr>
      <w:rPr>
        <w:rFonts w:hint="default"/>
        <w:lang w:val="en-US" w:eastAsia="en-US" w:bidi="ar-S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0702"/>
    <w:rsid w:val="00426495"/>
    <w:rsid w:val="00623181"/>
    <w:rsid w:val="00A80FA7"/>
    <w:rsid w:val="00A922C5"/>
    <w:rsid w:val="00BC0702"/>
    <w:rsid w:val="00FE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89C8D57-BC0E-4CD1-B3DC-D9D6EAFB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rPr>
  </w:style>
  <w:style w:type="paragraph" w:styleId="Heading1">
    <w:name w:val="heading 1"/>
    <w:basedOn w:val="Normal"/>
    <w:uiPriority w:val="1"/>
    <w:qFormat/>
    <w:pPr>
      <w:ind w:left="112"/>
      <w:outlineLvl w:val="0"/>
    </w:pPr>
    <w:rPr>
      <w:rFonts w:ascii="Consolas" w:eastAsia="Consolas" w:hAnsi="Consolas" w:cs="Consolas"/>
      <w:sz w:val="32"/>
      <w:szCs w:val="32"/>
    </w:rPr>
  </w:style>
  <w:style w:type="paragraph" w:styleId="Heading2">
    <w:name w:val="heading 2"/>
    <w:basedOn w:val="Normal"/>
    <w:uiPriority w:val="1"/>
    <w:qFormat/>
    <w:pPr>
      <w:spacing w:before="1"/>
      <w:ind w:left="112"/>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9" w:hanging="567"/>
      <w:jc w:val="both"/>
    </w:pPr>
    <w:rPr>
      <w:sz w:val="23"/>
      <w:szCs w:val="23"/>
    </w:rPr>
  </w:style>
  <w:style w:type="paragraph" w:styleId="Title">
    <w:name w:val="Title"/>
    <w:basedOn w:val="Normal"/>
    <w:uiPriority w:val="1"/>
    <w:qFormat/>
    <w:pPr>
      <w:spacing w:before="120"/>
      <w:ind w:left="112"/>
    </w:pPr>
    <w:rPr>
      <w:sz w:val="72"/>
      <w:szCs w:val="72"/>
    </w:rPr>
  </w:style>
  <w:style w:type="paragraph" w:styleId="ListParagraph">
    <w:name w:val="List Paragraph"/>
    <w:basedOn w:val="Normal"/>
    <w:uiPriority w:val="1"/>
    <w:qFormat/>
    <w:pPr>
      <w:spacing w:before="239"/>
      <w:ind w:left="1245" w:right="102"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Schedule E - National Policy and Reform Objectives</vt:lpstr>
    </vt:vector>
  </TitlesOfParts>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E - National Policy and Reform Objectives</dc:title>
  <cp:lastModifiedBy>Microsoft account</cp:lastModifiedBy>
  <cp:revision>4</cp:revision>
  <dcterms:created xsi:type="dcterms:W3CDTF">2022-10-28T19:53:00Z</dcterms:created>
  <dcterms:modified xsi:type="dcterms:W3CDTF">2022-10-28T21:51:00Z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pdfFactory Pro www.pdffactory.com</vt:lpwstr>
  </property>
  <property fmtid="{D5CDD505-2E9C-101B-9397-08002B2CF9AE}" pid="4" name="LastSaved">
    <vt:filetime>2022-10-28T00:00:00Z</vt:filetime>
  </property>
  <property fmtid="{D5CDD505-2E9C-101B-9397-08002B2CF9AE}" pid="5" name="Producer">
    <vt:lpwstr>pdfFactory Pro 3.52 (Windows 7 Ultimate x64)</vt:lpwstr>
  </property>
</Properties>
</file>