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67" w:rsidRPr="00AA6367" w:rsidRDefault="00207DAB" w:rsidP="00AA6367">
      <w:pPr>
        <w:pStyle w:val="Heading1"/>
        <w:spacing w:before="0" w:beforeAutospacing="0" w:after="0" w:afterAutospacing="0"/>
        <w:rPr>
          <w:rFonts w:ascii="Arial" w:hAnsi="Arial" w:cs="Arial"/>
          <w:color w:val="1F1F1F"/>
          <w:sz w:val="32"/>
          <w:szCs w:val="32"/>
        </w:rPr>
      </w:pPr>
      <w:r>
        <w:fldChar w:fldCharType="begin"/>
      </w:r>
      <w:r>
        <w:instrText xml:space="preserve"> HYPERLINK "https://www.sciencedirect.com/science/article/pii/S0967070X2200097X" </w:instrText>
      </w:r>
      <w:r>
        <w:fldChar w:fldCharType="separate"/>
      </w:r>
      <w:r w:rsidR="00AA6367" w:rsidRPr="001D3197">
        <w:rPr>
          <w:rStyle w:val="Hyperlink"/>
          <w:rFonts w:ascii="Arial" w:hAnsi="Arial" w:cs="Arial"/>
          <w:sz w:val="32"/>
          <w:szCs w:val="32"/>
        </w:rPr>
        <w:t>Cost-benefit analysis of transport projects: Theoretical framework and practical rules</w:t>
      </w:r>
      <w:r>
        <w:rPr>
          <w:rStyle w:val="Hyperlink"/>
          <w:rFonts w:ascii="Arial" w:hAnsi="Arial" w:cs="Arial"/>
          <w:sz w:val="32"/>
          <w:szCs w:val="32"/>
        </w:rPr>
        <w:fldChar w:fldCharType="end"/>
      </w:r>
    </w:p>
    <w:p w:rsidR="00AA6367" w:rsidRPr="00AA6367" w:rsidRDefault="001D3197" w:rsidP="00AA6367">
      <w:pPr>
        <w:rPr>
          <w:color w:val="1F1F1F"/>
          <w:szCs w:val="24"/>
        </w:rPr>
      </w:pPr>
      <w:r>
        <w:rPr>
          <w:rStyle w:val="given-name"/>
          <w:color w:val="1F1F1F"/>
        </w:rPr>
        <w:t>G</w:t>
      </w:r>
      <w:r w:rsidR="00AA6367">
        <w:rPr>
          <w:rStyle w:val="given-name"/>
          <w:color w:val="1F1F1F"/>
        </w:rPr>
        <w:t>inés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text"/>
          <w:color w:val="1F1F1F"/>
        </w:rPr>
        <w:t>de Rus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author-ref"/>
          <w:color w:val="1F1F1F"/>
          <w:sz w:val="18"/>
          <w:szCs w:val="18"/>
          <w:vertAlign w:val="superscript"/>
        </w:rPr>
        <w:t>a</w:t>
      </w:r>
      <w:r w:rsidR="00AA6367">
        <w:rPr>
          <w:rStyle w:val="button-link-text"/>
          <w:color w:val="1F1F1F"/>
        </w:rPr>
        <w:t> </w:t>
      </w:r>
      <w:r w:rsidR="00AA6367">
        <w:rPr>
          <w:rStyle w:val="author-ref"/>
          <w:color w:val="1F1F1F"/>
          <w:sz w:val="18"/>
          <w:szCs w:val="18"/>
          <w:vertAlign w:val="superscript"/>
        </w:rPr>
        <w:t>b</w:t>
      </w:r>
      <w:r w:rsidR="00AA6367">
        <w:rPr>
          <w:rStyle w:val="button-link-text"/>
          <w:color w:val="1F1F1F"/>
        </w:rPr>
        <w:t> </w:t>
      </w:r>
      <w:r w:rsidR="00AA6367">
        <w:rPr>
          <w:rStyle w:val="author-ref"/>
          <w:color w:val="1F1F1F"/>
          <w:sz w:val="18"/>
          <w:szCs w:val="18"/>
          <w:vertAlign w:val="superscript"/>
        </w:rPr>
        <w:t>c</w:t>
      </w:r>
      <w:r w:rsidR="00AA6367">
        <w:rPr>
          <w:color w:val="1F1F1F"/>
        </w:rPr>
        <w:t>, </w:t>
      </w:r>
      <w:r w:rsidR="00AA6367">
        <w:rPr>
          <w:rStyle w:val="given-name"/>
          <w:color w:val="1F1F1F"/>
        </w:rPr>
        <w:t>M. Pilar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text"/>
          <w:color w:val="1F1F1F"/>
        </w:rPr>
        <w:t>Socorro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author-ref"/>
          <w:color w:val="1F1F1F"/>
          <w:sz w:val="18"/>
          <w:szCs w:val="18"/>
          <w:vertAlign w:val="superscript"/>
        </w:rPr>
        <w:t>a</w:t>
      </w:r>
      <w:r w:rsidR="00AA6367">
        <w:rPr>
          <w:color w:val="1F1F1F"/>
        </w:rPr>
        <w:t>, </w:t>
      </w:r>
      <w:r w:rsidR="00AA6367">
        <w:rPr>
          <w:rStyle w:val="given-name"/>
          <w:color w:val="1F1F1F"/>
        </w:rPr>
        <w:t>Jorge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text"/>
          <w:color w:val="1F1F1F"/>
        </w:rPr>
        <w:t>Valido</w:t>
      </w:r>
      <w:r w:rsidR="00AA6367">
        <w:rPr>
          <w:rStyle w:val="react-xocs-alternative-link"/>
          <w:color w:val="1F1F1F"/>
        </w:rPr>
        <w:t> </w:t>
      </w:r>
      <w:r w:rsidR="00AA6367">
        <w:rPr>
          <w:rStyle w:val="author-ref"/>
          <w:color w:val="1F1F1F"/>
          <w:sz w:val="18"/>
          <w:szCs w:val="18"/>
          <w:vertAlign w:val="superscript"/>
        </w:rPr>
        <w:t>a</w:t>
      </w:r>
      <w:r w:rsidR="00AA6367">
        <w:rPr>
          <w:color w:val="1F1F1F"/>
        </w:rPr>
        <w:t>, </w:t>
      </w:r>
      <w:r w:rsidR="00AA6367">
        <w:rPr>
          <w:rStyle w:val="given-name"/>
          <w:color w:val="1F1F1F"/>
        </w:rPr>
        <w:t>Javier</w:t>
      </w:r>
      <w:r w:rsidR="00AA6367">
        <w:rPr>
          <w:rStyle w:val="react-xocs-alternative-link"/>
          <w:color w:val="1F1F1F"/>
        </w:rPr>
        <w:t> </w:t>
      </w:r>
      <w:r w:rsidR="00AA6367" w:rsidRPr="001D3197">
        <w:rPr>
          <w:rStyle w:val="text"/>
          <w:color w:val="1F1F1F"/>
          <w:szCs w:val="24"/>
        </w:rPr>
        <w:t>Campos</w:t>
      </w:r>
      <w:r w:rsidR="00AA6367" w:rsidRPr="001D3197">
        <w:rPr>
          <w:rStyle w:val="react-xocs-alternative-link"/>
          <w:color w:val="1F1F1F"/>
          <w:szCs w:val="24"/>
        </w:rPr>
        <w:t> </w:t>
      </w:r>
      <w:r>
        <w:rPr>
          <w:rStyle w:val="react-xocs-alternative-link"/>
          <w:color w:val="1F1F1F"/>
          <w:szCs w:val="24"/>
        </w:rPr>
        <w:t xml:space="preserve"> all </w:t>
      </w:r>
      <w:r w:rsidR="00533798">
        <w:rPr>
          <w:rStyle w:val="react-xocs-alternative-link"/>
          <w:color w:val="1F1F1F"/>
          <w:szCs w:val="24"/>
        </w:rPr>
        <w:t>Spanish</w:t>
      </w:r>
      <w:r w:rsidR="00533798" w:rsidRPr="001D3197">
        <w:rPr>
          <w:rStyle w:val="author-ref"/>
          <w:color w:val="1F1F1F"/>
          <w:szCs w:val="24"/>
          <w:vertAlign w:val="superscript"/>
        </w:rPr>
        <w:t xml:space="preserve">  </w:t>
      </w:r>
      <w:r w:rsidR="00AA6367" w:rsidRPr="001D3197">
        <w:t>14</w:t>
      </w:r>
      <w:r w:rsidR="00533798">
        <w:t> </w:t>
      </w:r>
      <w:r w:rsidR="00AA6367" w:rsidRPr="001D3197">
        <w:t>May 2022</w:t>
      </w:r>
    </w:p>
    <w:p w:rsidR="00592C6F" w:rsidRPr="00AA6367" w:rsidRDefault="006B1B41" w:rsidP="00592C6F">
      <w:pPr>
        <w:spacing w:before="135" w:after="0" w:line="240" w:lineRule="auto"/>
        <w:ind w:right="132"/>
        <w:jc w:val="both"/>
        <w:rPr>
          <w:rFonts w:eastAsia="Times New Roman"/>
          <w:b/>
          <w:bCs/>
          <w:szCs w:val="24"/>
          <w:lang w:eastAsia="en-AU"/>
        </w:rPr>
      </w:pPr>
      <w:hyperlink r:id="rId5" w:history="1">
        <w:r w:rsidR="00592C6F" w:rsidRPr="00AA6367">
          <w:rPr>
            <w:rStyle w:val="Hyperlink"/>
            <w:rFonts w:eastAsia="Times New Roman"/>
            <w:b/>
            <w:szCs w:val="24"/>
            <w:lang w:val="en-US" w:eastAsia="en-AU"/>
          </w:rPr>
          <w:t xml:space="preserve">Do Cost-Benefit Analyses Influence Transport Investment Decisions? Experiences from the Swedish Transport Investment Plan 2010–21, </w:t>
        </w:r>
        <w:r w:rsidR="00592C6F" w:rsidRPr="00AA6367">
          <w:rPr>
            <w:rStyle w:val="Hyperlink"/>
            <w:rFonts w:eastAsia="Times New Roman"/>
            <w:b/>
            <w:i/>
            <w:iCs/>
            <w:szCs w:val="24"/>
            <w:lang w:val="en-US" w:eastAsia="en-AU"/>
          </w:rPr>
          <w:t>Transport Reviews</w:t>
        </w:r>
        <w:r w:rsidR="00592C6F" w:rsidRPr="00AA6367">
          <w:rPr>
            <w:rStyle w:val="Hyperlink"/>
            <w:rFonts w:eastAsia="Times New Roman"/>
            <w:b/>
            <w:szCs w:val="24"/>
            <w:lang w:val="en-US" w:eastAsia="en-AU"/>
          </w:rPr>
          <w:t>, 31 (1) 1-20.</w:t>
        </w:r>
        <w:r w:rsidR="007F6485" w:rsidRPr="00AA6367">
          <w:rPr>
            <w:rStyle w:val="Hyperlink"/>
            <w:rFonts w:eastAsia="Times New Roman"/>
            <w:b/>
            <w:szCs w:val="24"/>
            <w:lang w:val="en-US" w:eastAsia="en-AU"/>
          </w:rPr>
          <w:t xml:space="preserve"> Eliasson, J. and Lundberg, M. (2011)</w:t>
        </w:r>
      </w:hyperlink>
    </w:p>
    <w:p w:rsidR="00AA6367" w:rsidRPr="00AA6367" w:rsidRDefault="006B1B41" w:rsidP="00AA6367">
      <w:pPr>
        <w:spacing w:before="135" w:after="0" w:line="240" w:lineRule="auto"/>
        <w:ind w:right="130"/>
        <w:jc w:val="both"/>
        <w:rPr>
          <w:rFonts w:eastAsia="Times New Roman"/>
          <w:b/>
          <w:bCs/>
          <w:szCs w:val="24"/>
          <w:lang w:eastAsia="en-AU"/>
        </w:rPr>
      </w:pPr>
      <w:hyperlink r:id="rId6" w:history="1">
        <w:r w:rsidR="00FE0229" w:rsidRPr="00FE0229">
          <w:rPr>
            <w:rStyle w:val="Hyperlink"/>
            <w:b/>
          </w:rPr>
          <w:t>Journal of Benefit-Cost Analysis Volume 3, Issue 1 2012 Article 1 Institutional Safeguards for Cost Benefit Analysis: Lessons from the Chilean National Investment System Andrés Gómez-Lobo, Department of Economics, University of Chile</w:t>
        </w:r>
      </w:hyperlink>
      <w:r w:rsidR="00AA6367">
        <w:rPr>
          <w:b/>
        </w:rPr>
        <w:t xml:space="preserve">  </w:t>
      </w:r>
      <w:r w:rsidR="00AA6367" w:rsidRPr="00AA6367">
        <w:rPr>
          <w:rFonts w:eastAsia="Times New Roman"/>
          <w:b/>
          <w:szCs w:val="24"/>
          <w:lang w:val="en-US" w:eastAsia="en-AU"/>
        </w:rPr>
        <w:t>Institutional Safeguards for Cost Benefit Analysis: Lessons from the Chilean National Investment System, Journal of Cost- Benefit Analysis, 3 (1) 1-30. Gómez-Lobo, A. (2012)</w:t>
      </w:r>
    </w:p>
    <w:p w:rsidR="00592C6F" w:rsidRPr="00592C6F" w:rsidRDefault="006B1B41" w:rsidP="00592C6F">
      <w:pPr>
        <w:spacing w:before="135" w:after="0" w:line="240" w:lineRule="auto"/>
        <w:ind w:right="134"/>
        <w:jc w:val="both"/>
        <w:rPr>
          <w:rFonts w:eastAsia="Times New Roman"/>
          <w:b/>
          <w:bCs/>
          <w:szCs w:val="24"/>
          <w:lang w:eastAsia="en-AU"/>
        </w:rPr>
      </w:pPr>
      <w:hyperlink r:id="rId7" w:history="1">
        <w:r w:rsidR="00592C6F" w:rsidRPr="00592C6F">
          <w:rPr>
            <w:rStyle w:val="Hyperlink"/>
            <w:rFonts w:eastAsia="Times New Roman"/>
            <w:b/>
            <w:szCs w:val="24"/>
            <w:lang w:val="en-US" w:eastAsia="en-AU"/>
          </w:rPr>
          <w:t xml:space="preserve">Consequences of differences in cost-benefit methodology in railway infrastructure appraisal.  A comparison between selected countries, </w:t>
        </w:r>
        <w:r w:rsidR="00592C6F" w:rsidRPr="00592C6F">
          <w:rPr>
            <w:rStyle w:val="Hyperlink"/>
            <w:rFonts w:eastAsia="Times New Roman"/>
            <w:b/>
            <w:i/>
            <w:iCs/>
            <w:szCs w:val="24"/>
            <w:lang w:val="en-US" w:eastAsia="en-AU"/>
          </w:rPr>
          <w:t>Transport Policy</w:t>
        </w:r>
        <w:r w:rsidR="00592C6F" w:rsidRPr="00592C6F">
          <w:rPr>
            <w:rStyle w:val="Hyperlink"/>
            <w:rFonts w:eastAsia="Times New Roman"/>
            <w:b/>
            <w:szCs w:val="24"/>
            <w:lang w:val="en-US" w:eastAsia="en-AU"/>
          </w:rPr>
          <w:t>, 22 (1) 29-35.  Olsson, N.O.E., Økland, A. and Halvorsen, S.B.  2012</w:t>
        </w:r>
      </w:hyperlink>
    </w:p>
    <w:p w:rsidR="005F14D6" w:rsidRPr="005F14D6" w:rsidRDefault="006B1B41" w:rsidP="005F14D6">
      <w:pPr>
        <w:spacing w:before="135" w:after="0" w:line="240" w:lineRule="auto"/>
        <w:ind w:right="131"/>
        <w:rPr>
          <w:rFonts w:ascii="Times New Roman" w:hAnsi="Times New Roman" w:cs="Times New Roman"/>
          <w:sz w:val="16"/>
          <w:szCs w:val="16"/>
        </w:rPr>
      </w:pPr>
      <w:hyperlink r:id="rId8" w:history="1">
        <w:r w:rsidR="00592C6F" w:rsidRPr="00592C6F">
          <w:rPr>
            <w:rStyle w:val="Hyperlink"/>
            <w:rFonts w:eastAsia="Times New Roman"/>
            <w:b/>
            <w:i/>
            <w:iCs/>
            <w:szCs w:val="24"/>
            <w:u w:val="none"/>
            <w:lang w:val="en-US" w:eastAsia="en-AU"/>
          </w:rPr>
          <w:t>Planning, analytic tools and the use of cost-benefit analysis in the transport sector in Norway</w:t>
        </w:r>
        <w:r w:rsidR="00592C6F" w:rsidRPr="00592C6F">
          <w:rPr>
            <w:rStyle w:val="Hyperlink"/>
            <w:rFonts w:eastAsia="Times New Roman"/>
            <w:b/>
            <w:i/>
            <w:iCs/>
            <w:spacing w:val="40"/>
            <w:szCs w:val="24"/>
            <w:u w:val="none"/>
            <w:lang w:val="en-US" w:eastAsia="en-AU"/>
          </w:rPr>
          <w:t xml:space="preserve"> </w:t>
        </w:r>
        <w:r w:rsidR="00592C6F" w:rsidRPr="00592C6F">
          <w:rPr>
            <w:rStyle w:val="Hyperlink"/>
            <w:rFonts w:eastAsia="Times New Roman"/>
            <w:b/>
            <w:i/>
            <w:iCs/>
            <w:szCs w:val="24"/>
            <w:u w:val="none"/>
            <w:lang w:val="en-US" w:eastAsia="en-AU"/>
          </w:rPr>
          <w:t>and Sweden</w:t>
        </w:r>
        <w:r w:rsidR="00592C6F" w:rsidRPr="00592C6F">
          <w:rPr>
            <w:rStyle w:val="Hyperlink"/>
            <w:rFonts w:eastAsia="Times New Roman"/>
            <w:b/>
            <w:szCs w:val="24"/>
            <w:u w:val="none"/>
            <w:lang w:val="en-US" w:eastAsia="en-AU"/>
          </w:rPr>
          <w:t>, Concept report no. 33, Concept Research Programme, Norwegian University of Science and Technology, Trondheim.  Welde, M, Eliasson, J., Odeck, J. and Börjesson, M.  2013</w:t>
        </w:r>
      </w:hyperlink>
    </w:p>
    <w:p w:rsidR="006A02D4" w:rsidRPr="005F14D6" w:rsidRDefault="00A4312B" w:rsidP="005F14D6">
      <w:pPr>
        <w:spacing w:before="135" w:after="0" w:line="240" w:lineRule="auto"/>
        <w:ind w:right="131"/>
        <w:rPr>
          <w:rFonts w:eastAsia="Times New Roman"/>
          <w:b/>
          <w:bCs/>
          <w:i/>
          <w:iCs/>
          <w:szCs w:val="24"/>
          <w:lang w:val="en-US" w:eastAsia="en-AU"/>
        </w:rPr>
      </w:pPr>
      <w:hyperlink r:id="rId9" w:history="1">
        <w:r w:rsidR="006A02D4" w:rsidRPr="005F14D6">
          <w:rPr>
            <w:rStyle w:val="Hyperlink"/>
            <w:b/>
            <w:szCs w:val="24"/>
          </w:rPr>
          <w:t>An Australian perspective on real-life cost-benefit analysis and assessment frameworks for transport infrastructure investments</w:t>
        </w:r>
      </w:hyperlink>
      <w:r w:rsidR="006A02D4" w:rsidRPr="00781EF2">
        <w:rPr>
          <w:rStyle w:val="title-text"/>
          <w:color w:val="1F1F1F"/>
          <w:szCs w:val="24"/>
        </w:rPr>
        <w:t xml:space="preserve"> </w:t>
      </w:r>
      <w:r w:rsidR="00781EF2" w:rsidRPr="00781EF2">
        <w:rPr>
          <w:rStyle w:val="title-text"/>
          <w:color w:val="1F1F1F"/>
          <w:szCs w:val="24"/>
        </w:rPr>
        <w:t>–</w:t>
      </w:r>
      <w:r w:rsidR="006A02D4" w:rsidRPr="00781EF2">
        <w:rPr>
          <w:rStyle w:val="title-text"/>
          <w:color w:val="1F1F1F"/>
          <w:szCs w:val="24"/>
        </w:rPr>
        <w:t xml:space="preserve"> </w:t>
      </w:r>
      <w:r w:rsidR="00781EF2" w:rsidRPr="00781EF2">
        <w:rPr>
          <w:rStyle w:val="title-text"/>
          <w:color w:val="1F1F1F"/>
          <w:szCs w:val="24"/>
        </w:rPr>
        <w:t xml:space="preserve">Sai Chi, Uni of WA and Jonathan Bunker, </w:t>
      </w:r>
      <w:r w:rsidR="00781EF2" w:rsidRPr="00781EF2">
        <w:rPr>
          <w:color w:val="707070"/>
          <w:szCs w:val="24"/>
        </w:rPr>
        <w:t xml:space="preserve">Queensland University of Technology </w:t>
      </w:r>
      <w:r w:rsidR="00781EF2">
        <w:rPr>
          <w:color w:val="707070"/>
          <w:szCs w:val="24"/>
        </w:rPr>
        <w:t xml:space="preserve">- </w:t>
      </w:r>
      <w:r w:rsidR="006A02D4" w:rsidRPr="00781EF2">
        <w:rPr>
          <w:color w:val="1F1F1F"/>
          <w:szCs w:val="24"/>
        </w:rPr>
        <w:t>1 December 2021</w:t>
      </w:r>
    </w:p>
    <w:p w:rsidR="00A913DD" w:rsidRDefault="00A913DD">
      <w:r>
        <w:t>Politicians.  Are there votes in it?</w:t>
      </w:r>
    </w:p>
    <w:p w:rsidR="00A913DD" w:rsidRDefault="00A913DD">
      <w:r>
        <w:t>Infrastructure Australia and involved construction companies want profit and are not interested in maximising return o</w:t>
      </w:r>
      <w:r w:rsidR="00FE0229">
        <w:t>f</w:t>
      </w:r>
      <w:r>
        <w:t xml:space="preserve"> the </w:t>
      </w:r>
      <w:r w:rsidRPr="00A913DD">
        <w:rPr>
          <w:i/>
        </w:rPr>
        <w:t>Public Purse</w:t>
      </w:r>
    </w:p>
    <w:p w:rsidR="00124354" w:rsidRDefault="00A913DD">
      <w:r>
        <w:t xml:space="preserve">Time, resources and R&amp;D expended on preparing a thorough Conforming Cost-Benefit Analysis will save the </w:t>
      </w:r>
      <w:r w:rsidRPr="00A913DD">
        <w:rPr>
          <w:i/>
        </w:rPr>
        <w:t>Public Purse</w:t>
      </w:r>
      <w:r>
        <w:rPr>
          <w:i/>
        </w:rPr>
        <w:t xml:space="preserve"> </w:t>
      </w:r>
      <w:r w:rsidR="00533798">
        <w:t>up to three</w:t>
      </w:r>
      <w:r>
        <w:t>fold.</w:t>
      </w:r>
      <w:r w:rsidR="00533798">
        <w:t xml:space="preserve"> </w:t>
      </w:r>
      <w:r w:rsidR="00FE0229">
        <w:t>Rushing into excavation and construction has proven exceedingly uneconomic on too many major rail infrastructure projects in Sydney and Melbourne over the last 10 years or so.</w:t>
      </w:r>
    </w:p>
    <w:p w:rsidR="00533798" w:rsidRDefault="00533798">
      <w:r>
        <w:t xml:space="preserve">A Conforming Cost-Benefit Analysis must </w:t>
      </w:r>
      <w:r w:rsidR="00207DAB">
        <w:t>fully calculate all tangible and intangible costs and benefits for</w:t>
      </w:r>
      <w:r>
        <w:t xml:space="preserve"> at least one alternative solution to the favoured new </w:t>
      </w:r>
      <w:r w:rsidR="00BD4371">
        <w:t xml:space="preserve">infrastructure </w:t>
      </w:r>
      <w:r>
        <w:t>project.</w:t>
      </w:r>
    </w:p>
    <w:p w:rsidR="00137E3D" w:rsidRDefault="007568BE" w:rsidP="005D47B4">
      <w:pPr>
        <w:spacing w:before="120" w:after="120" w:line="240" w:lineRule="auto"/>
      </w:pPr>
      <w:bookmarkStart w:id="0" w:name="_GoBack"/>
      <w:bookmarkEnd w:id="0"/>
      <w:r w:rsidRPr="007568BE">
        <w:t xml:space="preserve">Would </w:t>
      </w:r>
      <w:r w:rsidRPr="007568BE">
        <w:rPr>
          <w:i/>
        </w:rPr>
        <w:t>The Greens</w:t>
      </w:r>
      <w:r w:rsidRPr="007568BE">
        <w:t xml:space="preserve"> hold to account </w:t>
      </w:r>
      <w:r w:rsidR="00137E3D">
        <w:t>–</w:t>
      </w:r>
    </w:p>
    <w:p w:rsidR="00137E3D" w:rsidRDefault="007568BE" w:rsidP="0004210C">
      <w:pPr>
        <w:pStyle w:val="ListParagraph"/>
        <w:numPr>
          <w:ilvl w:val="0"/>
          <w:numId w:val="7"/>
        </w:numPr>
        <w:spacing w:before="120" w:after="120" w:line="240" w:lineRule="auto"/>
        <w:ind w:hanging="720"/>
      </w:pPr>
      <w:r w:rsidRPr="007568BE">
        <w:t xml:space="preserve">politicians that </w:t>
      </w:r>
      <w:r w:rsidR="0004210C">
        <w:t xml:space="preserve">waste </w:t>
      </w:r>
      <w:r>
        <w:t xml:space="preserve"> the </w:t>
      </w:r>
      <w:r w:rsidRPr="0004210C">
        <w:rPr>
          <w:i/>
        </w:rPr>
        <w:t>Public Purse</w:t>
      </w:r>
      <w:r>
        <w:t xml:space="preserve"> for their own political interests (</w:t>
      </w:r>
      <w:r w:rsidRPr="0004210C">
        <w:rPr>
          <w:i/>
        </w:rPr>
        <w:t>Pork</w:t>
      </w:r>
      <w:r w:rsidR="0004210C" w:rsidRPr="0004210C">
        <w:rPr>
          <w:i/>
        </w:rPr>
        <w:t> </w:t>
      </w:r>
      <w:r w:rsidRPr="0004210C">
        <w:rPr>
          <w:i/>
        </w:rPr>
        <w:t>barrelling</w:t>
      </w:r>
      <w:r>
        <w:t>)</w:t>
      </w:r>
      <w:r w:rsidR="00137E3D">
        <w:t>;</w:t>
      </w:r>
      <w:r>
        <w:t xml:space="preserve"> and </w:t>
      </w:r>
    </w:p>
    <w:p w:rsidR="007568BE" w:rsidRPr="007568BE" w:rsidRDefault="007568BE" w:rsidP="0004210C">
      <w:pPr>
        <w:pStyle w:val="ListParagraph"/>
        <w:numPr>
          <w:ilvl w:val="0"/>
          <w:numId w:val="7"/>
        </w:numPr>
        <w:spacing w:before="120" w:after="120" w:line="240" w:lineRule="auto"/>
        <w:ind w:hanging="720"/>
      </w:pPr>
      <w:proofErr w:type="gramStart"/>
      <w:r>
        <w:t>bureaucrats</w:t>
      </w:r>
      <w:proofErr w:type="gramEnd"/>
      <w:r>
        <w:t xml:space="preserve"> </w:t>
      </w:r>
      <w:r w:rsidR="00137E3D" w:rsidRPr="0004210C">
        <w:rPr>
          <w:i/>
        </w:rPr>
        <w:t>turn a blind eye</w:t>
      </w:r>
      <w:r w:rsidR="00137E3D">
        <w:t xml:space="preserve"> to politicians </w:t>
      </w:r>
      <w:r>
        <w:t>recklessly wast</w:t>
      </w:r>
      <w:r w:rsidR="00137E3D">
        <w:t xml:space="preserve">ing </w:t>
      </w:r>
      <w:r>
        <w:t xml:space="preserve">the </w:t>
      </w:r>
      <w:r w:rsidRPr="0004210C">
        <w:rPr>
          <w:i/>
        </w:rPr>
        <w:t>Public</w:t>
      </w:r>
      <w:r w:rsidR="0004210C">
        <w:rPr>
          <w:i/>
        </w:rPr>
        <w:t> </w:t>
      </w:r>
      <w:r w:rsidRPr="0004210C">
        <w:rPr>
          <w:i/>
        </w:rPr>
        <w:t>Purse</w:t>
      </w:r>
      <w:r w:rsidR="0004210C">
        <w:rPr>
          <w:i/>
        </w:rPr>
        <w:t xml:space="preserve"> </w:t>
      </w:r>
      <w:r w:rsidR="0004210C">
        <w:t xml:space="preserve">by not requiring a Conforming Cost-Benefit Analysis that </w:t>
      </w:r>
      <w:r w:rsidR="0004210C" w:rsidRPr="0004210C">
        <w:rPr>
          <w:i/>
        </w:rPr>
        <w:t>inter</w:t>
      </w:r>
      <w:r w:rsidR="0004210C">
        <w:rPr>
          <w:i/>
        </w:rPr>
        <w:t> </w:t>
      </w:r>
      <w:r w:rsidR="0004210C" w:rsidRPr="0004210C">
        <w:rPr>
          <w:i/>
        </w:rPr>
        <w:t>alia</w:t>
      </w:r>
      <w:r w:rsidR="0004210C">
        <w:t xml:space="preserve"> fully costs the next best infrastructure solution</w:t>
      </w:r>
      <w:r>
        <w:t>?</w:t>
      </w:r>
    </w:p>
    <w:p w:rsidR="00124354" w:rsidRPr="00207DAB" w:rsidRDefault="00124354" w:rsidP="005D47B4">
      <w:pPr>
        <w:spacing w:before="120" w:after="120" w:line="240" w:lineRule="auto"/>
        <w:rPr>
          <w:rFonts w:ascii="Roboto" w:hAnsi="Roboto"/>
          <w:b/>
          <w:color w:val="4007A2"/>
          <w:u w:val="single"/>
          <w:shd w:val="clear" w:color="auto" w:fill="FFFFFF"/>
        </w:rPr>
      </w:pPr>
    </w:p>
    <w:p w:rsidR="0009703D" w:rsidRPr="0009703D" w:rsidRDefault="0009703D" w:rsidP="00D942EA">
      <w:pPr>
        <w:spacing w:before="120" w:after="120" w:line="240" w:lineRule="auto"/>
        <w:rPr>
          <w:b/>
        </w:rPr>
      </w:pPr>
    </w:p>
    <w:sectPr w:rsidR="0009703D" w:rsidRPr="000970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BBF"/>
    <w:multiLevelType w:val="hybridMultilevel"/>
    <w:tmpl w:val="2BDCFE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8CC"/>
    <w:multiLevelType w:val="multilevel"/>
    <w:tmpl w:val="F292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D2409"/>
    <w:multiLevelType w:val="multilevel"/>
    <w:tmpl w:val="3628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9504E"/>
    <w:multiLevelType w:val="hybridMultilevel"/>
    <w:tmpl w:val="ED3EE3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10F03"/>
    <w:multiLevelType w:val="multilevel"/>
    <w:tmpl w:val="4CF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5678F"/>
    <w:multiLevelType w:val="hybridMultilevel"/>
    <w:tmpl w:val="4678ED4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71B8C"/>
    <w:multiLevelType w:val="hybridMultilevel"/>
    <w:tmpl w:val="A2A88852"/>
    <w:lvl w:ilvl="0" w:tplc="9F3ADB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6F"/>
    <w:rsid w:val="0004210C"/>
    <w:rsid w:val="00092911"/>
    <w:rsid w:val="0009703D"/>
    <w:rsid w:val="000E114F"/>
    <w:rsid w:val="00124354"/>
    <w:rsid w:val="00137E3D"/>
    <w:rsid w:val="001D2918"/>
    <w:rsid w:val="001D3197"/>
    <w:rsid w:val="00207DAB"/>
    <w:rsid w:val="002E2716"/>
    <w:rsid w:val="003D2F0A"/>
    <w:rsid w:val="0040518D"/>
    <w:rsid w:val="00416A2C"/>
    <w:rsid w:val="0048057D"/>
    <w:rsid w:val="004A7EC2"/>
    <w:rsid w:val="00533798"/>
    <w:rsid w:val="00592C6F"/>
    <w:rsid w:val="005D47B4"/>
    <w:rsid w:val="005F14D6"/>
    <w:rsid w:val="006A02D4"/>
    <w:rsid w:val="006A2817"/>
    <w:rsid w:val="006B0A96"/>
    <w:rsid w:val="006B1B41"/>
    <w:rsid w:val="006C60C1"/>
    <w:rsid w:val="00704784"/>
    <w:rsid w:val="007568BE"/>
    <w:rsid w:val="00781EF2"/>
    <w:rsid w:val="007F6485"/>
    <w:rsid w:val="00A4312B"/>
    <w:rsid w:val="00A913DD"/>
    <w:rsid w:val="00AA6367"/>
    <w:rsid w:val="00B75C35"/>
    <w:rsid w:val="00BD0BA4"/>
    <w:rsid w:val="00BD4371"/>
    <w:rsid w:val="00D942EA"/>
    <w:rsid w:val="00E173C5"/>
    <w:rsid w:val="00E62B3D"/>
    <w:rsid w:val="00FE002F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EBB2E-D597-4121-A304-B98F1CE4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6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9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92C6F"/>
    <w:rPr>
      <w:rFonts w:ascii="Times New Roman" w:eastAsia="Times New Roman" w:hAnsi="Times New Roman" w:cs="Times New Roman"/>
      <w:bCs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92C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2C6F"/>
    <w:rPr>
      <w:rFonts w:ascii="Times New Roman" w:eastAsia="Times New Roman" w:hAnsi="Times New Roman" w:cs="Times New Roman"/>
      <w:b/>
      <w:kern w:val="36"/>
      <w:sz w:val="48"/>
      <w:szCs w:val="48"/>
      <w:lang w:eastAsia="en-AU"/>
    </w:rPr>
  </w:style>
  <w:style w:type="character" w:customStyle="1" w:styleId="a">
    <w:name w:val="_"/>
    <w:basedOn w:val="DefaultParagraphFont"/>
    <w:rsid w:val="006A02D4"/>
  </w:style>
  <w:style w:type="character" w:customStyle="1" w:styleId="title-text">
    <w:name w:val="title-text"/>
    <w:basedOn w:val="DefaultParagraphFont"/>
    <w:rsid w:val="006A02D4"/>
  </w:style>
  <w:style w:type="character" w:customStyle="1" w:styleId="sr-only">
    <w:name w:val="sr-only"/>
    <w:basedOn w:val="DefaultParagraphFont"/>
    <w:rsid w:val="00AA6367"/>
  </w:style>
  <w:style w:type="character" w:customStyle="1" w:styleId="button-link-text">
    <w:name w:val="button-link-text"/>
    <w:basedOn w:val="DefaultParagraphFont"/>
    <w:rsid w:val="00AA6367"/>
  </w:style>
  <w:style w:type="character" w:customStyle="1" w:styleId="react-xocs-alternative-link">
    <w:name w:val="react-xocs-alternative-link"/>
    <w:basedOn w:val="DefaultParagraphFont"/>
    <w:rsid w:val="00AA6367"/>
  </w:style>
  <w:style w:type="character" w:customStyle="1" w:styleId="given-name">
    <w:name w:val="given-name"/>
    <w:basedOn w:val="DefaultParagraphFont"/>
    <w:rsid w:val="00AA6367"/>
  </w:style>
  <w:style w:type="character" w:customStyle="1" w:styleId="text">
    <w:name w:val="text"/>
    <w:basedOn w:val="DefaultParagraphFont"/>
    <w:rsid w:val="00AA6367"/>
  </w:style>
  <w:style w:type="character" w:customStyle="1" w:styleId="author-ref">
    <w:name w:val="author-ref"/>
    <w:basedOn w:val="DefaultParagraphFont"/>
    <w:rsid w:val="00AA6367"/>
  </w:style>
  <w:style w:type="paragraph" w:styleId="ListParagraph">
    <w:name w:val="List Paragraph"/>
    <w:basedOn w:val="Normal"/>
    <w:uiPriority w:val="34"/>
    <w:qFormat/>
    <w:rsid w:val="00BD4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4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1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2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350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81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19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33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nu.no/documents/1261860271/1262010703/Planning%2C+analytic+tools+and+the+use+of+cost-benefit+analysis+in+the+transport+sector+in+Norway+and+Sweden.pdf/3150e703-c0a8-44cb-be53-71a6953cf06c?t=16841594614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s.repec.org/a/eee/trapol/v22y2012icp29-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mbridgeUniPress/institutional-safeguards-for-cost-benefit-analysis-lessons-from-the-chilean-national-investment-system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andfonline.com/doi/full/10.1080/01441647.2011.5825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BA/Uni_WA_Uni_Qld/an_australian_perspective_on_real-life_CB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32</cp:revision>
  <dcterms:created xsi:type="dcterms:W3CDTF">2025-04-23T07:40:00Z</dcterms:created>
  <dcterms:modified xsi:type="dcterms:W3CDTF">2025-04-27T07:23:00Z</dcterms:modified>
</cp:coreProperties>
</file>