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A2B" w:rsidRPr="006E4A2B" w:rsidRDefault="006E4A2B" w:rsidP="006E4A2B">
      <w:pPr>
        <w:spacing w:after="0" w:line="375" w:lineRule="atLeast"/>
        <w:jc w:val="center"/>
        <w:textAlignment w:val="baseline"/>
        <w:outlineLvl w:val="0"/>
        <w:rPr>
          <w:rFonts w:ascii="Roboto" w:eastAsia="Times New Roman" w:hAnsi="Roboto" w:cs="Times New Roman"/>
          <w:b/>
          <w:color w:val="444444"/>
          <w:kern w:val="36"/>
          <w:sz w:val="32"/>
          <w:szCs w:val="32"/>
          <w:lang w:eastAsia="en-AU"/>
        </w:rPr>
      </w:pPr>
      <w:r w:rsidRPr="00D46F3B">
        <w:rPr>
          <w:rFonts w:ascii="Roboto" w:eastAsia="Times New Roman" w:hAnsi="Roboto" w:cs="Times New Roman"/>
          <w:b/>
          <w:color w:val="444444"/>
          <w:kern w:val="36"/>
          <w:sz w:val="32"/>
          <w:szCs w:val="32"/>
          <w:lang w:eastAsia="en-AU"/>
        </w:rPr>
        <w:fldChar w:fldCharType="begin"/>
      </w:r>
      <w:r w:rsidRPr="00D46F3B">
        <w:rPr>
          <w:rFonts w:ascii="Roboto" w:eastAsia="Times New Roman" w:hAnsi="Roboto" w:cs="Times New Roman"/>
          <w:b/>
          <w:color w:val="444444"/>
          <w:kern w:val="36"/>
          <w:sz w:val="32"/>
          <w:szCs w:val="32"/>
          <w:lang w:eastAsia="en-AU"/>
        </w:rPr>
        <w:instrText xml:space="preserve"> HYPERLINK "https://unreserved.rba.gov.au/nodes/view/88861" </w:instrText>
      </w:r>
      <w:r w:rsidRPr="00D46F3B">
        <w:rPr>
          <w:rFonts w:ascii="Roboto" w:eastAsia="Times New Roman" w:hAnsi="Roboto" w:cs="Times New Roman"/>
          <w:b/>
          <w:color w:val="444444"/>
          <w:kern w:val="36"/>
          <w:sz w:val="32"/>
          <w:szCs w:val="32"/>
          <w:lang w:eastAsia="en-AU"/>
        </w:rPr>
        <w:fldChar w:fldCharType="separate"/>
      </w:r>
      <w:r w:rsidRPr="00D46F3B">
        <w:rPr>
          <w:rStyle w:val="Hyperlink"/>
          <w:rFonts w:ascii="Roboto" w:eastAsia="Times New Roman" w:hAnsi="Roboto" w:cs="Times New Roman"/>
          <w:b/>
          <w:kern w:val="36"/>
          <w:sz w:val="32"/>
          <w:szCs w:val="32"/>
          <w:lang w:eastAsia="en-AU"/>
        </w:rPr>
        <w:t>Research Guide: Float of the Australian Dollar</w:t>
      </w:r>
      <w:r w:rsidRPr="00D46F3B">
        <w:rPr>
          <w:rFonts w:ascii="Roboto" w:eastAsia="Times New Roman" w:hAnsi="Roboto" w:cs="Times New Roman"/>
          <w:b/>
          <w:color w:val="444444"/>
          <w:kern w:val="36"/>
          <w:sz w:val="32"/>
          <w:szCs w:val="32"/>
          <w:lang w:eastAsia="en-AU"/>
        </w:rPr>
        <w:fldChar w:fldCharType="end"/>
      </w:r>
    </w:p>
    <w:p w:rsidR="006E4A2B" w:rsidRPr="006E4A2B" w:rsidRDefault="006E4A2B" w:rsidP="006E4A2B">
      <w:pPr>
        <w:shd w:val="clear" w:color="auto" w:fill="FFFFFF"/>
        <w:spacing w:after="0" w:line="240" w:lineRule="auto"/>
        <w:textAlignment w:val="top"/>
        <w:rPr>
          <w:rFonts w:ascii="Times New Roman" w:eastAsia="Times New Roman" w:hAnsi="Times New Roman" w:cs="Times New Roman"/>
          <w:color w:val="333333"/>
          <w:szCs w:val="24"/>
          <w:lang w:eastAsia="en-AU"/>
        </w:rPr>
      </w:pPr>
      <w:r w:rsidRPr="006E4A2B">
        <w:rPr>
          <w:rFonts w:ascii="Roboto" w:eastAsia="Times New Roman" w:hAnsi="Roboto" w:cs="Times New Roman"/>
          <w:b/>
          <w:color w:val="333333"/>
          <w:szCs w:val="24"/>
          <w:lang w:eastAsia="en-AU"/>
        </w:rPr>
        <w:t>Topic summary</w:t>
      </w:r>
    </w:p>
    <w:p w:rsidR="006E4A2B" w:rsidRPr="006E4A2B" w:rsidRDefault="006E4A2B" w:rsidP="006E4A2B">
      <w:pPr>
        <w:shd w:val="clear" w:color="auto" w:fill="FFFFFF"/>
        <w:spacing w:after="90" w:line="240" w:lineRule="auto"/>
        <w:textAlignment w:val="top"/>
        <w:rPr>
          <w:rFonts w:ascii="Times New Roman" w:eastAsia="Times New Roman" w:hAnsi="Times New Roman" w:cs="Times New Roman"/>
          <w:szCs w:val="24"/>
          <w:lang w:eastAsia="en-AU"/>
        </w:rPr>
      </w:pPr>
      <w:r w:rsidRPr="006E4A2B">
        <w:rPr>
          <w:rFonts w:ascii="Roboto" w:eastAsia="Times New Roman" w:hAnsi="Roboto" w:cs="Times New Roman"/>
          <w:color w:val="333333"/>
          <w:szCs w:val="24"/>
          <w:lang w:eastAsia="en-AU"/>
        </w:rPr>
        <w:t xml:space="preserve">The decision of the Australian government to float the Australian dollar was one of the most significant economic policy decisions in Australia’s modern history. Australia had experienced several exchange rate regimes. Over the course of the 20th century there was the gold standard, followed by a peg and then crawling peg exchange rate regime, with progressive exchange rate flexibility introduced </w:t>
      </w:r>
      <w:r w:rsidRPr="006E4A2B">
        <w:rPr>
          <w:rFonts w:ascii="Roboto" w:eastAsia="Times New Roman" w:hAnsi="Roboto" w:cs="Times New Roman"/>
          <w:color w:val="333333"/>
          <w:szCs w:val="24"/>
          <w:highlight w:val="yellow"/>
          <w:lang w:eastAsia="en-AU"/>
        </w:rPr>
        <w:t>until, on Monday 12 December 1983, the Australian dollar was floated.</w:t>
      </w:r>
    </w:p>
    <w:p w:rsidR="006E4A2B" w:rsidRPr="006E4A2B" w:rsidRDefault="006E4A2B" w:rsidP="006E4A2B">
      <w:pPr>
        <w:shd w:val="clear" w:color="auto" w:fill="FFFFFF"/>
        <w:spacing w:after="90" w:line="240" w:lineRule="auto"/>
        <w:textAlignment w:val="top"/>
        <w:rPr>
          <w:rFonts w:ascii="Roboto" w:eastAsia="Times New Roman" w:hAnsi="Roboto" w:cs="Times New Roman"/>
          <w:color w:val="333333"/>
          <w:szCs w:val="24"/>
          <w:lang w:eastAsia="en-AU"/>
        </w:rPr>
      </w:pPr>
      <w:r w:rsidRPr="006E4A2B">
        <w:rPr>
          <w:rFonts w:ascii="Roboto" w:eastAsia="Times New Roman" w:hAnsi="Roboto" w:cs="Times New Roman"/>
          <w:color w:val="333333"/>
          <w:szCs w:val="24"/>
          <w:lang w:eastAsia="en-AU"/>
        </w:rPr>
        <w:t>Formal proposals to float the dollar had begun as early as 1966 when Austin Holmes, Chief Manager of the Reserve Bank’s Research Department, advised the Bank to consider floating the currency in the event of a balance of payments crisis. With the breakdown of the Bretton Woods system in the early 1970s, discussions about whether to float continued as the approach to managing the currency evolved and moved towards greater exchange rate flexibility</w:t>
      </w:r>
      <w:r w:rsidRPr="006E4A2B">
        <w:rPr>
          <w:rFonts w:ascii="Roboto" w:eastAsia="Times New Roman" w:hAnsi="Roboto" w:cs="Times New Roman"/>
          <w:color w:val="333333"/>
          <w:szCs w:val="24"/>
          <w:highlight w:val="yellow"/>
          <w:lang w:eastAsia="en-AU"/>
        </w:rPr>
        <w:t>. When the decision was made by the Hawke Government on 9 December 1983 to abolish most of the exchange controls and float the Australian dollar, it was with the support and encouragement of the Reserve Bank.</w:t>
      </w:r>
    </w:p>
    <w:p w:rsidR="006E4A2B" w:rsidRPr="006E4A2B" w:rsidRDefault="006E4A2B" w:rsidP="006E4A2B">
      <w:pPr>
        <w:shd w:val="clear" w:color="auto" w:fill="FFFFFF"/>
        <w:spacing w:after="90" w:line="240" w:lineRule="auto"/>
        <w:textAlignment w:val="top"/>
        <w:rPr>
          <w:rFonts w:ascii="Roboto" w:eastAsia="Times New Roman" w:hAnsi="Roboto" w:cs="Times New Roman"/>
          <w:color w:val="333333"/>
          <w:szCs w:val="24"/>
          <w:lang w:eastAsia="en-AU"/>
        </w:rPr>
      </w:pPr>
      <w:r w:rsidRPr="006E4A2B">
        <w:rPr>
          <w:rFonts w:ascii="Roboto" w:eastAsia="Times New Roman" w:hAnsi="Roboto" w:cs="Times New Roman"/>
          <w:color w:val="333333"/>
          <w:szCs w:val="24"/>
          <w:lang w:eastAsia="en-AU"/>
        </w:rPr>
        <w:t>The floating of the dollar helped to stabilise domestic monetary conditions and, importantly, for the Reserve Bank, meant it could now conduct monetary policy more effectively in support of its objectives, which later included the targeting of the inflation rate.</w:t>
      </w:r>
    </w:p>
    <w:p w:rsidR="006E4A2B" w:rsidRPr="006E4A2B" w:rsidRDefault="006E4A2B" w:rsidP="00603384">
      <w:pPr>
        <w:shd w:val="clear" w:color="auto" w:fill="FFFFFF"/>
        <w:spacing w:after="90" w:line="240" w:lineRule="auto"/>
        <w:textAlignment w:val="top"/>
        <w:rPr>
          <w:rFonts w:ascii="Times New Roman" w:eastAsia="Times New Roman" w:hAnsi="Times New Roman" w:cs="Times New Roman"/>
          <w:szCs w:val="24"/>
          <w:lang w:eastAsia="en-AU"/>
        </w:rPr>
      </w:pPr>
      <w:r w:rsidRPr="006E4A2B">
        <w:rPr>
          <w:rFonts w:ascii="Roboto" w:eastAsia="Times New Roman" w:hAnsi="Roboto" w:cs="Times New Roman"/>
          <w:b/>
          <w:color w:val="333333"/>
          <w:szCs w:val="24"/>
          <w:lang w:eastAsia="en-AU"/>
        </w:rPr>
        <w:t xml:space="preserve">Further </w:t>
      </w:r>
      <w:proofErr w:type="gramStart"/>
      <w:r w:rsidRPr="006E4A2B">
        <w:rPr>
          <w:rFonts w:ascii="Roboto" w:eastAsia="Times New Roman" w:hAnsi="Roboto" w:cs="Times New Roman"/>
          <w:b/>
          <w:color w:val="333333"/>
          <w:szCs w:val="24"/>
          <w:lang w:eastAsia="en-AU"/>
        </w:rPr>
        <w:t>information</w:t>
      </w:r>
      <w:r w:rsidR="00603384">
        <w:rPr>
          <w:rFonts w:ascii="Roboto" w:eastAsia="Times New Roman" w:hAnsi="Roboto" w:cs="Times New Roman"/>
          <w:b/>
          <w:color w:val="333333"/>
          <w:szCs w:val="24"/>
          <w:lang w:eastAsia="en-AU"/>
        </w:rPr>
        <w:t xml:space="preserve">  -</w:t>
      </w:r>
      <w:proofErr w:type="gramEnd"/>
      <w:r w:rsidR="00603384">
        <w:rPr>
          <w:rFonts w:ascii="Roboto" w:eastAsia="Times New Roman" w:hAnsi="Roboto" w:cs="Times New Roman"/>
          <w:b/>
          <w:color w:val="333333"/>
          <w:szCs w:val="24"/>
          <w:lang w:eastAsia="en-AU"/>
        </w:rPr>
        <w:t xml:space="preserve">  </w:t>
      </w:r>
      <w:r w:rsidRPr="006E4A2B">
        <w:rPr>
          <w:rFonts w:ascii="Roboto" w:eastAsia="Times New Roman" w:hAnsi="Roboto" w:cs="Times New Roman"/>
          <w:b/>
          <w:i/>
          <w:iCs/>
          <w:color w:val="333333"/>
          <w:szCs w:val="24"/>
          <w:lang w:eastAsia="en-AU"/>
        </w:rPr>
        <w:t>Exchange rate regimes</w:t>
      </w:r>
    </w:p>
    <w:p w:rsidR="006E4A2B" w:rsidRPr="006E4A2B" w:rsidRDefault="006E4A2B" w:rsidP="006E4A2B">
      <w:pPr>
        <w:shd w:val="clear" w:color="auto" w:fill="FFFFFF"/>
        <w:spacing w:after="0" w:line="240" w:lineRule="auto"/>
        <w:textAlignment w:val="top"/>
        <w:rPr>
          <w:rFonts w:ascii="Roboto" w:eastAsia="Times New Roman" w:hAnsi="Roboto" w:cs="Times New Roman"/>
          <w:b/>
          <w:color w:val="333333"/>
          <w:szCs w:val="24"/>
          <w:lang w:eastAsia="en-AU"/>
        </w:rPr>
      </w:pPr>
      <w:r w:rsidRPr="006E4A2B">
        <w:rPr>
          <w:rFonts w:ascii="Roboto" w:eastAsia="Times New Roman" w:hAnsi="Roboto" w:cs="Times New Roman"/>
          <w:b/>
          <w:i/>
          <w:iCs/>
          <w:color w:val="333333"/>
          <w:szCs w:val="24"/>
          <w:lang w:eastAsia="en-AU"/>
        </w:rPr>
        <w:t>The gold standard and other arrangements: pre 1931</w:t>
      </w:r>
    </w:p>
    <w:p w:rsidR="006E4A2B" w:rsidRPr="006E4A2B" w:rsidRDefault="006E4A2B" w:rsidP="006E4A2B">
      <w:pPr>
        <w:shd w:val="clear" w:color="auto" w:fill="FFFFFF"/>
        <w:spacing w:after="90" w:line="240" w:lineRule="auto"/>
        <w:textAlignment w:val="top"/>
        <w:rPr>
          <w:rFonts w:ascii="Roboto" w:eastAsia="Times New Roman" w:hAnsi="Roboto" w:cs="Times New Roman"/>
          <w:color w:val="333333"/>
          <w:szCs w:val="24"/>
          <w:lang w:eastAsia="en-AU"/>
        </w:rPr>
      </w:pPr>
      <w:r w:rsidRPr="006E4A2B">
        <w:rPr>
          <w:rFonts w:ascii="Roboto" w:eastAsia="Times New Roman" w:hAnsi="Roboto" w:cs="Times New Roman"/>
          <w:color w:val="333333"/>
          <w:szCs w:val="24"/>
          <w:lang w:eastAsia="en-AU"/>
        </w:rPr>
        <w:t xml:space="preserve">In the 1860s, Australian banks initially adopted the British gold standard – meaning that money was convertible to gold at a fixed rate with the British pound sterling. </w:t>
      </w:r>
      <w:r w:rsidRPr="006E4A2B">
        <w:rPr>
          <w:rFonts w:ascii="Roboto" w:eastAsia="Times New Roman" w:hAnsi="Roboto" w:cs="Times New Roman"/>
          <w:color w:val="333333"/>
          <w:szCs w:val="24"/>
          <w:highlight w:val="yellow"/>
          <w:lang w:eastAsia="en-AU"/>
        </w:rPr>
        <w:t xml:space="preserve">Australia had a fixed rate of exchange with pound sterling of </w:t>
      </w:r>
      <w:r w:rsidRPr="006E4A2B">
        <w:rPr>
          <w:rFonts w:ascii="Roboto" w:eastAsia="Times New Roman" w:hAnsi="Roboto" w:cs="Times New Roman"/>
          <w:b/>
          <w:color w:val="333333"/>
          <w:szCs w:val="24"/>
          <w:highlight w:val="yellow"/>
          <w:lang w:eastAsia="en-AU"/>
        </w:rPr>
        <w:t>£1Stg=£A1</w:t>
      </w:r>
      <w:r w:rsidRPr="006E4A2B">
        <w:rPr>
          <w:rFonts w:ascii="Roboto" w:eastAsia="Times New Roman" w:hAnsi="Roboto" w:cs="Times New Roman"/>
          <w:color w:val="333333"/>
          <w:szCs w:val="24"/>
          <w:highlight w:val="yellow"/>
          <w:lang w:eastAsia="en-AU"/>
        </w:rPr>
        <w:t>. This British gold standard arrangement was in place up to the First World War after which the British and Australian pounds floated against each other with the rate of exchange moving within a small range.</w:t>
      </w:r>
      <w:r w:rsidRPr="006E4A2B">
        <w:rPr>
          <w:rFonts w:ascii="Roboto" w:eastAsia="Times New Roman" w:hAnsi="Roboto" w:cs="Times New Roman"/>
          <w:color w:val="333333"/>
          <w:szCs w:val="24"/>
          <w:lang w:eastAsia="en-AU"/>
        </w:rPr>
        <w:t xml:space="preserve"> This bilateral arrangement continued until April 1925 when both currencies reverted to the gold standard at the pre-war parity. </w:t>
      </w:r>
      <w:r w:rsidRPr="006E4A2B">
        <w:rPr>
          <w:rFonts w:ascii="Roboto" w:eastAsia="Times New Roman" w:hAnsi="Roboto" w:cs="Times New Roman"/>
          <w:color w:val="333333"/>
          <w:szCs w:val="24"/>
          <w:highlight w:val="yellow"/>
          <w:lang w:eastAsia="en-AU"/>
        </w:rPr>
        <w:t>However, during the Great Depression the gold standard was abandoned in both Australia and the United Kingdom.</w:t>
      </w:r>
    </w:p>
    <w:p w:rsidR="006E4A2B" w:rsidRPr="006E4A2B" w:rsidRDefault="006E4A2B" w:rsidP="006E4A2B">
      <w:pPr>
        <w:shd w:val="clear" w:color="auto" w:fill="FFFFFF"/>
        <w:spacing w:after="0" w:line="240" w:lineRule="auto"/>
        <w:textAlignment w:val="top"/>
        <w:rPr>
          <w:rFonts w:ascii="Roboto" w:eastAsia="Times New Roman" w:hAnsi="Roboto" w:cs="Times New Roman"/>
          <w:b/>
          <w:color w:val="333333"/>
          <w:szCs w:val="24"/>
          <w:lang w:eastAsia="en-AU"/>
        </w:rPr>
      </w:pPr>
      <w:r w:rsidRPr="006E4A2B">
        <w:rPr>
          <w:rFonts w:ascii="Roboto" w:eastAsia="Times New Roman" w:hAnsi="Roboto" w:cs="Times New Roman"/>
          <w:b/>
          <w:i/>
          <w:iCs/>
          <w:color w:val="333333"/>
          <w:szCs w:val="24"/>
          <w:lang w:eastAsia="en-AU"/>
        </w:rPr>
        <w:t>The peg to the British pound: 1931 to 1967</w:t>
      </w:r>
    </w:p>
    <w:p w:rsidR="006E4A2B" w:rsidRPr="006E4A2B" w:rsidRDefault="006E4A2B" w:rsidP="006E4A2B">
      <w:pPr>
        <w:shd w:val="clear" w:color="auto" w:fill="FFFFFF"/>
        <w:spacing w:after="0" w:line="240" w:lineRule="auto"/>
        <w:textAlignment w:val="top"/>
        <w:rPr>
          <w:rFonts w:ascii="Roboto" w:eastAsia="Times New Roman" w:hAnsi="Roboto" w:cs="Times New Roman"/>
          <w:color w:val="333333"/>
          <w:szCs w:val="24"/>
          <w:lang w:eastAsia="en-AU"/>
        </w:rPr>
      </w:pPr>
      <w:r w:rsidRPr="006E4A2B">
        <w:rPr>
          <w:rFonts w:ascii="Roboto" w:eastAsia="Times New Roman" w:hAnsi="Roboto" w:cs="Times New Roman"/>
          <w:color w:val="333333"/>
          <w:szCs w:val="24"/>
          <w:highlight w:val="yellow"/>
          <w:lang w:eastAsia="en-AU"/>
        </w:rPr>
        <w:t>Australia commenced pegging its currency to the British pound sterling in December 1931 and continued this arrangement following the Bretton Woods agreement in 1944. (The initial rate of exchange was at £100Stg=£A125.)</w:t>
      </w:r>
      <w:r w:rsidRPr="006E4A2B">
        <w:rPr>
          <w:rFonts w:ascii="Roboto" w:eastAsia="Times New Roman" w:hAnsi="Roboto" w:cs="Times New Roman"/>
          <w:color w:val="333333"/>
          <w:szCs w:val="24"/>
          <w:lang w:eastAsia="en-AU"/>
        </w:rPr>
        <w:t xml:space="preserve"> At the time, the adoption of the sterling peg reflected the role of sterling as the primary currency used in international transactions. It was also in recognition of Australia’s close ties with the United Kingdom and participation in the sterling area along with other countries in the British Commonwealth. Under this system, the Bank</w:t>
      </w:r>
      <w:r w:rsidRPr="006E4A2B">
        <w:rPr>
          <w:rFonts w:ascii="Roboto" w:eastAsia="Times New Roman" w:hAnsi="Roboto" w:cs="Times New Roman"/>
          <w:color w:val="333333"/>
          <w:szCs w:val="24"/>
          <w:vertAlign w:val="superscript"/>
          <w:lang w:eastAsia="en-AU"/>
        </w:rPr>
        <w:t>1</w:t>
      </w:r>
      <w:r w:rsidRPr="006E4A2B">
        <w:rPr>
          <w:rFonts w:ascii="Roboto" w:eastAsia="Times New Roman" w:hAnsi="Roboto" w:cs="Times New Roman"/>
          <w:color w:val="333333"/>
          <w:szCs w:val="24"/>
          <w:lang w:eastAsia="en-AU"/>
        </w:rPr>
        <w:t xml:space="preserve"> fixed the exchange rate </w:t>
      </w:r>
      <w:r w:rsidRPr="006E4A2B">
        <w:rPr>
          <w:rFonts w:ascii="Roboto" w:eastAsia="Times New Roman" w:hAnsi="Roboto" w:cs="Times New Roman"/>
          <w:color w:val="333333"/>
          <w:szCs w:val="24"/>
          <w:highlight w:val="yellow"/>
          <w:lang w:eastAsia="en-AU"/>
        </w:rPr>
        <w:t>for all dealings in sterling</w:t>
      </w:r>
      <w:r w:rsidRPr="006E4A2B">
        <w:rPr>
          <w:rFonts w:ascii="Roboto" w:eastAsia="Times New Roman" w:hAnsi="Roboto" w:cs="Times New Roman"/>
          <w:color w:val="333333"/>
          <w:szCs w:val="24"/>
          <w:lang w:eastAsia="en-AU"/>
        </w:rPr>
        <w:t>; the commercial banks themselves acted only as agents for the central bank.</w:t>
      </w:r>
    </w:p>
    <w:p w:rsidR="008A487E" w:rsidRDefault="006E4A2B" w:rsidP="008A487E">
      <w:pPr>
        <w:shd w:val="clear" w:color="auto" w:fill="FFFFFF"/>
        <w:spacing w:before="80" w:after="60" w:line="240" w:lineRule="auto"/>
        <w:textAlignment w:val="top"/>
        <w:rPr>
          <w:rFonts w:ascii="Roboto" w:eastAsia="Times New Roman" w:hAnsi="Roboto" w:cs="Times New Roman"/>
          <w:color w:val="333333"/>
          <w:szCs w:val="24"/>
          <w:lang w:eastAsia="en-AU"/>
        </w:rPr>
      </w:pPr>
      <w:r w:rsidRPr="006E4A2B">
        <w:rPr>
          <w:rFonts w:ascii="Roboto" w:eastAsia="Times New Roman" w:hAnsi="Roboto" w:cs="Times New Roman"/>
          <w:color w:val="333333"/>
          <w:szCs w:val="24"/>
          <w:highlight w:val="yellow"/>
          <w:lang w:eastAsia="en-AU"/>
        </w:rPr>
        <w:t xml:space="preserve">After the Second World War and following Australia’s accession to the International Monetary Fund in 1947, the par value for the Australian pound was set against the United States dollar (at </w:t>
      </w:r>
      <w:r w:rsidRPr="006E4A2B">
        <w:rPr>
          <w:rFonts w:ascii="Roboto" w:eastAsia="Times New Roman" w:hAnsi="Roboto" w:cs="Times New Roman"/>
          <w:b/>
          <w:color w:val="333333"/>
          <w:szCs w:val="24"/>
          <w:highlight w:val="yellow"/>
          <w:lang w:eastAsia="en-AU"/>
        </w:rPr>
        <w:t>$US3.224=£A1</w:t>
      </w:r>
      <w:r w:rsidRPr="006E4A2B">
        <w:rPr>
          <w:rFonts w:ascii="Roboto" w:eastAsia="Times New Roman" w:hAnsi="Roboto" w:cs="Times New Roman"/>
          <w:color w:val="333333"/>
          <w:szCs w:val="24"/>
          <w:highlight w:val="yellow"/>
          <w:lang w:eastAsia="en-AU"/>
        </w:rPr>
        <w:t xml:space="preserve">). In September 1949, both sterling and the Australian pound were devalued by 30.5 per cent against the United States dollar, with the new value for the Australian pound against the US dollar being set at </w:t>
      </w:r>
      <w:r w:rsidRPr="006E4A2B">
        <w:rPr>
          <w:rFonts w:ascii="Roboto" w:eastAsia="Times New Roman" w:hAnsi="Roboto" w:cs="Times New Roman"/>
          <w:b/>
          <w:color w:val="333333"/>
          <w:szCs w:val="24"/>
          <w:highlight w:val="yellow"/>
          <w:lang w:eastAsia="en-AU"/>
        </w:rPr>
        <w:t>$US2.24=£A1</w:t>
      </w:r>
      <w:r w:rsidRPr="006E4A2B">
        <w:rPr>
          <w:rFonts w:ascii="Roboto" w:eastAsia="Times New Roman" w:hAnsi="Roboto" w:cs="Times New Roman"/>
          <w:color w:val="333333"/>
          <w:szCs w:val="24"/>
          <w:lang w:eastAsia="en-AU"/>
        </w:rPr>
        <w:t xml:space="preserve">. </w:t>
      </w:r>
      <w:r w:rsidRPr="006E4A2B">
        <w:rPr>
          <w:rFonts w:ascii="Roboto" w:eastAsia="Times New Roman" w:hAnsi="Roboto" w:cs="Times New Roman"/>
          <w:color w:val="333333"/>
          <w:szCs w:val="24"/>
          <w:highlight w:val="yellow"/>
          <w:lang w:eastAsia="en-AU"/>
        </w:rPr>
        <w:t xml:space="preserve">The rate of exchange between the British and Australian currencies remained at the 1931 rate until November 1967 when sterling was devalued (by 14.3 per cent) against the $US, but the value of the $A against the $US was not altered, so that the $A appreciated substantially against sterling </w:t>
      </w:r>
      <w:r w:rsidRPr="006E4A2B">
        <w:rPr>
          <w:rFonts w:ascii="Roboto" w:eastAsia="Times New Roman" w:hAnsi="Roboto" w:cs="Times New Roman"/>
          <w:b/>
          <w:color w:val="333333"/>
          <w:szCs w:val="24"/>
          <w:highlight w:val="yellow"/>
          <w:lang w:eastAsia="en-AU"/>
        </w:rPr>
        <w:t>($A2.1429=£1Stg).</w:t>
      </w:r>
      <w:r w:rsidRPr="006E4A2B">
        <w:rPr>
          <w:rFonts w:ascii="Roboto" w:eastAsia="Times New Roman" w:hAnsi="Roboto" w:cs="Times New Roman"/>
          <w:color w:val="333333"/>
          <w:szCs w:val="24"/>
          <w:lang w:eastAsia="en-AU"/>
        </w:rPr>
        <w:t xml:space="preserve"> At the time, authorities explained that they chose to allow this appreciation to occur rat</w:t>
      </w:r>
      <w:r w:rsidR="00D15F58">
        <w:rPr>
          <w:rFonts w:ascii="Roboto" w:eastAsia="Times New Roman" w:hAnsi="Roboto" w:cs="Times New Roman"/>
          <w:color w:val="333333"/>
          <w:szCs w:val="24"/>
          <w:lang w:eastAsia="en-AU"/>
        </w:rPr>
        <w:t>her than devalue the $</w:t>
      </w:r>
      <w:proofErr w:type="gramStart"/>
      <w:r w:rsidR="00D15F58">
        <w:rPr>
          <w:rFonts w:ascii="Roboto" w:eastAsia="Times New Roman" w:hAnsi="Roboto" w:cs="Times New Roman"/>
          <w:color w:val="333333"/>
          <w:szCs w:val="24"/>
          <w:lang w:eastAsia="en-AU"/>
        </w:rPr>
        <w:t>A because</w:t>
      </w:r>
      <w:proofErr w:type="gramEnd"/>
      <w:r w:rsidRPr="006E4A2B">
        <w:rPr>
          <w:rFonts w:ascii="Roboto" w:eastAsia="Times New Roman" w:hAnsi="Roboto" w:cs="Times New Roman"/>
          <w:color w:val="333333"/>
          <w:szCs w:val="24"/>
          <w:lang w:eastAsia="en-AU"/>
        </w:rPr>
        <w:t xml:space="preserve">: </w:t>
      </w:r>
    </w:p>
    <w:p w:rsidR="00704784" w:rsidRDefault="00D15F58" w:rsidP="00D15F58">
      <w:pPr>
        <w:shd w:val="clear" w:color="auto" w:fill="FFFFFF"/>
        <w:spacing w:before="80" w:after="90" w:line="240" w:lineRule="auto"/>
        <w:textAlignment w:val="top"/>
        <w:rPr>
          <w:rFonts w:ascii="Roboto" w:eastAsia="Times New Roman" w:hAnsi="Roboto" w:cs="Times New Roman"/>
          <w:color w:val="333333"/>
          <w:szCs w:val="24"/>
          <w:lang w:eastAsia="en-AU"/>
        </w:rPr>
      </w:pPr>
      <w:proofErr w:type="gramStart"/>
      <w:r>
        <w:rPr>
          <w:rFonts w:ascii="Roboto" w:eastAsia="Times New Roman" w:hAnsi="Roboto" w:cs="Times New Roman"/>
          <w:color w:val="333333"/>
          <w:szCs w:val="24"/>
          <w:lang w:eastAsia="en-AU"/>
        </w:rPr>
        <w:t xml:space="preserve">*  </w:t>
      </w:r>
      <w:r w:rsidR="006E4A2B" w:rsidRPr="006E4A2B">
        <w:rPr>
          <w:rFonts w:ascii="Roboto" w:eastAsia="Times New Roman" w:hAnsi="Roboto" w:cs="Times New Roman"/>
          <w:color w:val="333333"/>
          <w:szCs w:val="24"/>
          <w:lang w:eastAsia="en-AU"/>
        </w:rPr>
        <w:t>devaluation</w:t>
      </w:r>
      <w:proofErr w:type="gramEnd"/>
      <w:r w:rsidR="006E4A2B" w:rsidRPr="006E4A2B">
        <w:rPr>
          <w:rFonts w:ascii="Roboto" w:eastAsia="Times New Roman" w:hAnsi="Roboto" w:cs="Times New Roman"/>
          <w:color w:val="333333"/>
          <w:szCs w:val="24"/>
          <w:lang w:eastAsia="en-AU"/>
        </w:rPr>
        <w:t xml:space="preserve"> would lead to higher import prices and inflation; </w:t>
      </w:r>
      <w:r>
        <w:rPr>
          <w:rFonts w:ascii="Roboto" w:eastAsia="Times New Roman" w:hAnsi="Roboto" w:cs="Times New Roman"/>
          <w:color w:val="333333"/>
          <w:szCs w:val="24"/>
          <w:lang w:eastAsia="en-AU"/>
        </w:rPr>
        <w:br/>
        <w:t xml:space="preserve">*  </w:t>
      </w:r>
      <w:r w:rsidR="006E4A2B" w:rsidRPr="006E4A2B">
        <w:rPr>
          <w:rFonts w:ascii="Roboto" w:eastAsia="Times New Roman" w:hAnsi="Roboto" w:cs="Times New Roman"/>
          <w:color w:val="333333"/>
          <w:szCs w:val="24"/>
          <w:lang w:eastAsia="en-AU"/>
        </w:rPr>
        <w:t xml:space="preserve">the balance of payments was already forecast to improve; </w:t>
      </w:r>
      <w:r>
        <w:rPr>
          <w:rFonts w:ascii="Roboto" w:eastAsia="Times New Roman" w:hAnsi="Roboto" w:cs="Times New Roman"/>
          <w:color w:val="333333"/>
          <w:szCs w:val="24"/>
          <w:lang w:eastAsia="en-AU"/>
        </w:rPr>
        <w:br/>
        <w:t xml:space="preserve">*  </w:t>
      </w:r>
      <w:r w:rsidR="006E4A2B" w:rsidRPr="006E4A2B">
        <w:rPr>
          <w:rFonts w:ascii="Roboto" w:eastAsia="Times New Roman" w:hAnsi="Roboto" w:cs="Times New Roman"/>
          <w:color w:val="333333"/>
          <w:szCs w:val="24"/>
          <w:lang w:eastAsia="en-AU"/>
        </w:rPr>
        <w:t xml:space="preserve">the effectiveness of sterling devaluation would be enhanced; and </w:t>
      </w:r>
      <w:r>
        <w:rPr>
          <w:rFonts w:ascii="Roboto" w:eastAsia="Times New Roman" w:hAnsi="Roboto" w:cs="Times New Roman"/>
          <w:color w:val="333333"/>
          <w:szCs w:val="24"/>
          <w:lang w:eastAsia="en-AU"/>
        </w:rPr>
        <w:br/>
        <w:t xml:space="preserve">*  </w:t>
      </w:r>
      <w:r w:rsidR="006E4A2B" w:rsidRPr="006E4A2B">
        <w:rPr>
          <w:rFonts w:ascii="Roboto" w:eastAsia="Times New Roman" w:hAnsi="Roboto" w:cs="Times New Roman"/>
          <w:color w:val="333333"/>
          <w:szCs w:val="24"/>
          <w:lang w:eastAsia="en-AU"/>
        </w:rPr>
        <w:t>export receipts were not likely to be significantly affected (given decreasing reliance on the United Kingdom as a destination for Australian exports).</w:t>
      </w:r>
    </w:p>
    <w:p w:rsidR="00D46F3B" w:rsidRPr="00D46F3B" w:rsidRDefault="00D46F3B" w:rsidP="00D15F58">
      <w:pPr>
        <w:shd w:val="clear" w:color="auto" w:fill="FFFFFF"/>
        <w:spacing w:after="0" w:line="240" w:lineRule="auto"/>
        <w:textAlignment w:val="top"/>
        <w:rPr>
          <w:rFonts w:ascii="Roboto" w:eastAsia="Times New Roman" w:hAnsi="Roboto" w:cs="Times New Roman"/>
          <w:color w:val="333333"/>
          <w:szCs w:val="24"/>
          <w:lang w:eastAsia="en-AU"/>
        </w:rPr>
      </w:pPr>
      <w:r w:rsidRPr="00D46F3B">
        <w:rPr>
          <w:rFonts w:ascii="Roboto" w:eastAsia="Times New Roman" w:hAnsi="Roboto" w:cs="Times New Roman"/>
          <w:b/>
          <w:i/>
          <w:iCs/>
          <w:color w:val="333333"/>
          <w:szCs w:val="24"/>
          <w:lang w:eastAsia="en-AU"/>
        </w:rPr>
        <w:lastRenderedPageBreak/>
        <w:t>The peg to the US dollar: 1971 to 1974</w:t>
      </w:r>
      <w:r w:rsidR="00D15F58">
        <w:rPr>
          <w:rFonts w:ascii="Roboto" w:eastAsia="Times New Roman" w:hAnsi="Roboto" w:cs="Times New Roman"/>
          <w:b/>
          <w:i/>
          <w:iCs/>
          <w:color w:val="333333"/>
          <w:szCs w:val="24"/>
          <w:lang w:eastAsia="en-AU"/>
        </w:rPr>
        <w:br/>
      </w:r>
      <w:r w:rsidRPr="00D46F3B">
        <w:rPr>
          <w:rFonts w:ascii="Roboto" w:eastAsia="Times New Roman" w:hAnsi="Roboto" w:cs="Times New Roman"/>
          <w:color w:val="333333"/>
          <w:szCs w:val="24"/>
          <w:highlight w:val="yellow"/>
          <w:lang w:eastAsia="en-AU"/>
        </w:rPr>
        <w:t>The US dollar gradually overtook pound sterling in international trade and finance, making it the primary international reserve currency.</w:t>
      </w:r>
      <w:r w:rsidRPr="00D46F3B">
        <w:rPr>
          <w:rFonts w:ascii="Roboto" w:eastAsia="Times New Roman" w:hAnsi="Roboto" w:cs="Times New Roman"/>
          <w:color w:val="333333"/>
          <w:szCs w:val="24"/>
          <w:lang w:eastAsia="en-AU"/>
        </w:rPr>
        <w:t xml:space="preserve"> Against this background, the historic link between British and Australian currencies was broken </w:t>
      </w:r>
      <w:r w:rsidRPr="00D46F3B">
        <w:rPr>
          <w:rFonts w:ascii="Roboto" w:eastAsia="Times New Roman" w:hAnsi="Roboto" w:cs="Times New Roman"/>
          <w:color w:val="333333"/>
          <w:szCs w:val="24"/>
          <w:highlight w:val="yellow"/>
          <w:lang w:eastAsia="en-AU"/>
        </w:rPr>
        <w:t>in December 1971 when the Australian dollar was revalued against the US dollar and pegged to that currency rather than sterling</w:t>
      </w:r>
      <w:r w:rsidRPr="00D46F3B">
        <w:rPr>
          <w:rFonts w:ascii="Roboto" w:eastAsia="Times New Roman" w:hAnsi="Roboto" w:cs="Times New Roman"/>
          <w:color w:val="333333"/>
          <w:szCs w:val="24"/>
          <w:lang w:eastAsia="en-AU"/>
        </w:rPr>
        <w:t>. (</w:t>
      </w:r>
      <w:r w:rsidRPr="00D46F3B">
        <w:rPr>
          <w:rFonts w:ascii="Roboto" w:eastAsia="Times New Roman" w:hAnsi="Roboto" w:cs="Times New Roman"/>
          <w:color w:val="333333"/>
          <w:szCs w:val="24"/>
          <w:highlight w:val="yellow"/>
          <w:lang w:eastAsia="en-AU"/>
        </w:rPr>
        <w:t>The origins of this revaluation stem from the decision of US President Nixon in August 1971 to cease the convertibility of the US dollar to gold</w:t>
      </w:r>
      <w:r w:rsidRPr="00D46F3B">
        <w:rPr>
          <w:rFonts w:ascii="Roboto" w:eastAsia="Times New Roman" w:hAnsi="Roboto" w:cs="Times New Roman"/>
          <w:color w:val="333333"/>
          <w:szCs w:val="24"/>
          <w:lang w:eastAsia="en-AU"/>
        </w:rPr>
        <w:t xml:space="preserve"> – sometimes called the ‘Nixon shock’.) At the same time, </w:t>
      </w:r>
      <w:r w:rsidRPr="00D46F3B">
        <w:rPr>
          <w:rFonts w:ascii="Roboto" w:eastAsia="Times New Roman" w:hAnsi="Roboto" w:cs="Times New Roman"/>
          <w:color w:val="333333"/>
          <w:szCs w:val="24"/>
          <w:highlight w:val="yellow"/>
          <w:lang w:eastAsia="en-AU"/>
        </w:rPr>
        <w:t>the Reserve Bank also introduced new arrangements with banks for handling foreign exchange dealings in sterling</w:t>
      </w:r>
      <w:r w:rsidRPr="00D46F3B">
        <w:rPr>
          <w:rFonts w:ascii="Roboto" w:eastAsia="Times New Roman" w:hAnsi="Roboto" w:cs="Times New Roman"/>
          <w:color w:val="333333"/>
          <w:szCs w:val="24"/>
          <w:lang w:eastAsia="en-AU"/>
        </w:rPr>
        <w:t xml:space="preserve"> in which the banks would now act as principals in transactions with their customers rather than as agents of the Reserve Bank. This gave the banks the opportunity to participate more directly in the foreign exchange market.</w:t>
      </w:r>
    </w:p>
    <w:p w:rsidR="00D46F3B" w:rsidRPr="00D46F3B" w:rsidRDefault="00D46F3B" w:rsidP="00D46F3B">
      <w:pPr>
        <w:shd w:val="clear" w:color="auto" w:fill="FFFFFF"/>
        <w:spacing w:after="90" w:line="240" w:lineRule="auto"/>
        <w:textAlignment w:val="top"/>
        <w:rPr>
          <w:rFonts w:ascii="Roboto" w:eastAsia="Times New Roman" w:hAnsi="Roboto" w:cs="Times New Roman"/>
          <w:color w:val="333333"/>
          <w:szCs w:val="24"/>
          <w:lang w:eastAsia="en-AU"/>
        </w:rPr>
      </w:pPr>
      <w:r w:rsidRPr="004E6B1A">
        <w:rPr>
          <w:rFonts w:ascii="Roboto" w:eastAsia="Times New Roman" w:hAnsi="Roboto" w:cs="Times New Roman"/>
          <w:color w:val="333333"/>
          <w:szCs w:val="24"/>
          <w:highlight w:val="yellow"/>
          <w:lang w:eastAsia="en-AU"/>
        </w:rPr>
        <w:t>By late 1972, Australia was running a large balance of payments surplus with record capital inflow, and the Australia dollar was perceived to be undervalued. In December 1972, to curb the capital inflow, the newly elected Labor government revalued the $A by 7.05 per cent against the $US. A further effective revaluation of 11.1 per cent occurred in February 1973 (when the $US was devalued by 10 per cent against gold while Australia retained its existing gold parity</w:t>
      </w:r>
      <w:r w:rsidRPr="00D46F3B">
        <w:rPr>
          <w:rFonts w:ascii="Roboto" w:eastAsia="Times New Roman" w:hAnsi="Roboto" w:cs="Times New Roman"/>
          <w:color w:val="333333"/>
          <w:szCs w:val="24"/>
          <w:lang w:eastAsia="en-AU"/>
        </w:rPr>
        <w:t>).</w:t>
      </w:r>
    </w:p>
    <w:p w:rsidR="00D46F3B" w:rsidRPr="00D46F3B" w:rsidRDefault="00D46F3B" w:rsidP="00D46F3B">
      <w:pPr>
        <w:shd w:val="clear" w:color="auto" w:fill="FFFFFF"/>
        <w:spacing w:after="90" w:line="240" w:lineRule="auto"/>
        <w:textAlignment w:val="top"/>
        <w:rPr>
          <w:rFonts w:ascii="Roboto" w:eastAsia="Times New Roman" w:hAnsi="Roboto" w:cs="Times New Roman"/>
          <w:color w:val="333333"/>
          <w:szCs w:val="24"/>
          <w:lang w:eastAsia="en-AU"/>
        </w:rPr>
      </w:pPr>
      <w:r w:rsidRPr="00D46F3B">
        <w:rPr>
          <w:rFonts w:ascii="Roboto" w:eastAsia="Times New Roman" w:hAnsi="Roboto" w:cs="Times New Roman"/>
          <w:color w:val="333333"/>
          <w:szCs w:val="24"/>
          <w:lang w:eastAsia="en-AU"/>
        </w:rPr>
        <w:t xml:space="preserve">Importantly, Australia had not chosen to join the global move to floating exchange rates in the early 1970s: authorities continued to give priority to exchange rate stability, which was considered important both in its own right and as a discipline on policymaking. </w:t>
      </w:r>
      <w:r w:rsidRPr="004E6B1A">
        <w:rPr>
          <w:rFonts w:ascii="Roboto" w:eastAsia="Times New Roman" w:hAnsi="Roboto" w:cs="Times New Roman"/>
          <w:color w:val="333333"/>
          <w:szCs w:val="24"/>
          <w:highlight w:val="yellow"/>
          <w:lang w:eastAsia="en-AU"/>
        </w:rPr>
        <w:t>However, following the revaluation of the $</w:t>
      </w:r>
      <w:proofErr w:type="gramStart"/>
      <w:r w:rsidRPr="004E6B1A">
        <w:rPr>
          <w:rFonts w:ascii="Roboto" w:eastAsia="Times New Roman" w:hAnsi="Roboto" w:cs="Times New Roman"/>
          <w:color w:val="333333"/>
          <w:szCs w:val="24"/>
          <w:highlight w:val="yellow"/>
          <w:lang w:eastAsia="en-AU"/>
        </w:rPr>
        <w:t>A and</w:t>
      </w:r>
      <w:proofErr w:type="gramEnd"/>
      <w:r w:rsidRPr="004E6B1A">
        <w:rPr>
          <w:rFonts w:ascii="Roboto" w:eastAsia="Times New Roman" w:hAnsi="Roboto" w:cs="Times New Roman"/>
          <w:color w:val="333333"/>
          <w:szCs w:val="24"/>
          <w:highlight w:val="yellow"/>
          <w:lang w:eastAsia="en-AU"/>
        </w:rPr>
        <w:t xml:space="preserve"> the floating of most of the major currencies in March 1973, the $A fell in value against the currencies of most of its major trading partners as the $US continued to </w:t>
      </w:r>
      <w:r w:rsidRPr="004E6B1A">
        <w:rPr>
          <w:rFonts w:ascii="Roboto" w:eastAsia="Times New Roman" w:hAnsi="Roboto" w:cs="Times New Roman"/>
          <w:b/>
          <w:color w:val="333333"/>
          <w:szCs w:val="24"/>
          <w:highlight w:val="yellow"/>
          <w:lang w:eastAsia="en-AU"/>
        </w:rPr>
        <w:t>depreciate</w:t>
      </w:r>
      <w:r w:rsidRPr="004E6B1A">
        <w:rPr>
          <w:rFonts w:ascii="Roboto" w:eastAsia="Times New Roman" w:hAnsi="Roboto" w:cs="Times New Roman"/>
          <w:color w:val="333333"/>
          <w:szCs w:val="24"/>
          <w:highlight w:val="yellow"/>
          <w:lang w:eastAsia="en-AU"/>
        </w:rPr>
        <w:t>.</w:t>
      </w:r>
      <w:r w:rsidRPr="00D46F3B">
        <w:rPr>
          <w:rFonts w:ascii="Roboto" w:eastAsia="Times New Roman" w:hAnsi="Roboto" w:cs="Times New Roman"/>
          <w:color w:val="333333"/>
          <w:szCs w:val="24"/>
          <w:lang w:eastAsia="en-AU"/>
        </w:rPr>
        <w:t xml:space="preserve"> </w:t>
      </w:r>
      <w:r w:rsidRPr="00EE6ED5">
        <w:rPr>
          <w:rFonts w:ascii="Roboto" w:eastAsia="Times New Roman" w:hAnsi="Roboto" w:cs="Times New Roman"/>
          <w:color w:val="333333"/>
          <w:szCs w:val="24"/>
          <w:highlight w:val="yellow"/>
          <w:lang w:eastAsia="en-AU"/>
        </w:rPr>
        <w:t>By June decline in the value of the $A was causing concern in both the Treasury and the Reserve Bank about the need for a further corrective revaluation and the wisdom of continuing with the current regime – especially given the slowing in economic activity and the emergence of inflationary pressures</w:t>
      </w:r>
      <w:r w:rsidRPr="00D46F3B">
        <w:rPr>
          <w:rFonts w:ascii="Roboto" w:eastAsia="Times New Roman" w:hAnsi="Roboto" w:cs="Times New Roman"/>
          <w:color w:val="333333"/>
          <w:szCs w:val="24"/>
          <w:lang w:eastAsia="en-AU"/>
        </w:rPr>
        <w:t>.</w:t>
      </w:r>
    </w:p>
    <w:p w:rsidR="00D46F3B" w:rsidRPr="00D46F3B" w:rsidRDefault="00D46F3B" w:rsidP="00D46F3B">
      <w:pPr>
        <w:shd w:val="clear" w:color="auto" w:fill="FFFFFF"/>
        <w:spacing w:after="0" w:line="240" w:lineRule="auto"/>
        <w:textAlignment w:val="top"/>
        <w:rPr>
          <w:rFonts w:ascii="Roboto" w:eastAsia="Times New Roman" w:hAnsi="Roboto" w:cs="Times New Roman"/>
          <w:b/>
          <w:color w:val="333333"/>
          <w:szCs w:val="24"/>
          <w:lang w:eastAsia="en-AU"/>
        </w:rPr>
      </w:pPr>
      <w:r w:rsidRPr="00D46F3B">
        <w:rPr>
          <w:rFonts w:ascii="Roboto" w:eastAsia="Times New Roman" w:hAnsi="Roboto" w:cs="Times New Roman"/>
          <w:b/>
          <w:i/>
          <w:iCs/>
          <w:color w:val="333333"/>
          <w:szCs w:val="24"/>
          <w:lang w:eastAsia="en-AU"/>
        </w:rPr>
        <w:t>The peg to an effective exchange rate: 1974 to 1976</w:t>
      </w:r>
    </w:p>
    <w:p w:rsidR="00D46F3B" w:rsidRPr="00D46F3B" w:rsidRDefault="00D46F3B" w:rsidP="00D46F3B">
      <w:pPr>
        <w:shd w:val="clear" w:color="auto" w:fill="FFFFFF"/>
        <w:spacing w:after="90" w:line="240" w:lineRule="auto"/>
        <w:textAlignment w:val="top"/>
        <w:rPr>
          <w:rFonts w:ascii="Roboto" w:eastAsia="Times New Roman" w:hAnsi="Roboto" w:cs="Times New Roman"/>
          <w:color w:val="333333"/>
          <w:szCs w:val="24"/>
          <w:lang w:eastAsia="en-AU"/>
        </w:rPr>
      </w:pPr>
      <w:r w:rsidRPr="00EE6ED5">
        <w:rPr>
          <w:rFonts w:ascii="Roboto" w:eastAsia="Times New Roman" w:hAnsi="Roboto" w:cs="Times New Roman"/>
          <w:color w:val="333333"/>
          <w:szCs w:val="24"/>
          <w:highlight w:val="yellow"/>
          <w:lang w:eastAsia="en-AU"/>
        </w:rPr>
        <w:t>In response to the developments of 1973, the Governor of the Reserve Bank, Sir John Phillips, let it be known that the Bank favoured an immediate move to a ‘managed’ exchange rate that would be determined day-to-day based on movements in the major currencies that were weighted according to their trading significance to Australia. The government would still be required to make decisions from time to time about the exchange rate, but the proposed regime would overcome the immediate problem of being tied to the $US.</w:t>
      </w:r>
      <w:r w:rsidRPr="00D46F3B">
        <w:rPr>
          <w:rFonts w:ascii="Roboto" w:eastAsia="Times New Roman" w:hAnsi="Roboto" w:cs="Times New Roman"/>
          <w:color w:val="333333"/>
          <w:szCs w:val="24"/>
          <w:lang w:eastAsia="en-AU"/>
        </w:rPr>
        <w:t xml:space="preserve"> The Treasury Secretary, Sir Frederick Wheeler, however, opposed any change before the budget considerations were completed. Shortly after the Budget was brought down in August 1973, the $A was revalued by 5 per cent against gold and the $US.</w:t>
      </w:r>
    </w:p>
    <w:p w:rsidR="00D46F3B" w:rsidRPr="00D46F3B" w:rsidRDefault="00D46F3B" w:rsidP="00D46F3B">
      <w:pPr>
        <w:shd w:val="clear" w:color="auto" w:fill="FFFFFF"/>
        <w:spacing w:after="0" w:line="240" w:lineRule="auto"/>
        <w:textAlignment w:val="top"/>
        <w:rPr>
          <w:rFonts w:ascii="Roboto" w:eastAsia="Times New Roman" w:hAnsi="Roboto" w:cs="Times New Roman"/>
          <w:color w:val="333333"/>
          <w:szCs w:val="24"/>
          <w:lang w:eastAsia="en-AU"/>
        </w:rPr>
      </w:pPr>
      <w:r w:rsidRPr="00D46F3B">
        <w:rPr>
          <w:rFonts w:ascii="Roboto" w:eastAsia="Times New Roman" w:hAnsi="Roboto" w:cs="Times New Roman"/>
          <w:color w:val="333333"/>
          <w:szCs w:val="24"/>
          <w:lang w:eastAsia="en-AU"/>
        </w:rPr>
        <w:t>Discussions about the possibility of floating the Australian dollar against a Trade Weighted Index (</w:t>
      </w:r>
      <w:proofErr w:type="spellStart"/>
      <w:r w:rsidRPr="00D46F3B">
        <w:rPr>
          <w:rFonts w:ascii="Roboto" w:eastAsia="Times New Roman" w:hAnsi="Roboto" w:cs="Times New Roman"/>
          <w:color w:val="333333"/>
          <w:szCs w:val="24"/>
          <w:lang w:eastAsia="en-AU"/>
        </w:rPr>
        <w:t>TWI</w:t>
      </w:r>
      <w:proofErr w:type="spellEnd"/>
      <w:r w:rsidRPr="00D46F3B">
        <w:rPr>
          <w:rFonts w:ascii="Roboto" w:eastAsia="Times New Roman" w:hAnsi="Roboto" w:cs="Times New Roman"/>
          <w:color w:val="333333"/>
          <w:szCs w:val="24"/>
          <w:lang w:eastAsia="en-AU"/>
        </w:rPr>
        <w:t xml:space="preserve">) of currencies continued in 1974. In early 1974 the Bank’s official view was that there were grounds for considering a switch to a trade-weighted standard. They had considered the option of a float, concluding that a pure float had rarely succeeded anywhere for more than a very short period, while a managed float differed little from frequent discrete adjustments. A meeting on the topic of ‘Floating or Devaluing’ was held at the Lodge in Canberra on 22 September 1974 between the Prime Minister Gough Whitlam, Deputy Prime Minister Jim Cairns, the Treasurer Frank </w:t>
      </w:r>
      <w:proofErr w:type="spellStart"/>
      <w:r w:rsidRPr="00D46F3B">
        <w:rPr>
          <w:rFonts w:ascii="Roboto" w:eastAsia="Times New Roman" w:hAnsi="Roboto" w:cs="Times New Roman"/>
          <w:color w:val="333333"/>
          <w:szCs w:val="24"/>
          <w:lang w:eastAsia="en-AU"/>
        </w:rPr>
        <w:t>Crean</w:t>
      </w:r>
      <w:proofErr w:type="spellEnd"/>
      <w:r w:rsidRPr="00D46F3B">
        <w:rPr>
          <w:rFonts w:ascii="Roboto" w:eastAsia="Times New Roman" w:hAnsi="Roboto" w:cs="Times New Roman"/>
          <w:color w:val="333333"/>
          <w:szCs w:val="24"/>
          <w:lang w:eastAsia="en-AU"/>
        </w:rPr>
        <w:t xml:space="preserve">, and their principal advisers, together with officials from the Bank and Treasury. </w:t>
      </w:r>
      <w:r w:rsidRPr="00EE6ED5">
        <w:rPr>
          <w:rFonts w:ascii="Roboto" w:eastAsia="Times New Roman" w:hAnsi="Roboto" w:cs="Times New Roman"/>
          <w:color w:val="333333"/>
          <w:szCs w:val="24"/>
          <w:highlight w:val="yellow"/>
          <w:lang w:eastAsia="en-AU"/>
        </w:rPr>
        <w:t xml:space="preserve">This meeting resulted in the decision to devalue the $A by 12 per cent against the $US on 25 September </w:t>
      </w:r>
      <w:r w:rsidR="00EE6ED5">
        <w:rPr>
          <w:rFonts w:ascii="Roboto" w:eastAsia="Times New Roman" w:hAnsi="Roboto" w:cs="Times New Roman"/>
          <w:color w:val="333333"/>
          <w:szCs w:val="24"/>
          <w:highlight w:val="yellow"/>
          <w:lang w:eastAsia="en-AU"/>
        </w:rPr>
        <w:t xml:space="preserve">1974 </w:t>
      </w:r>
      <w:r w:rsidRPr="00EE6ED5">
        <w:rPr>
          <w:rFonts w:ascii="Roboto" w:eastAsia="Times New Roman" w:hAnsi="Roboto" w:cs="Times New Roman"/>
          <w:color w:val="333333"/>
          <w:szCs w:val="24"/>
          <w:highlight w:val="yellow"/>
          <w:lang w:eastAsia="en-AU"/>
        </w:rPr>
        <w:t>and, at the same time, to fix the $A to a trade-weighted basket of currencies, the TWI.</w:t>
      </w:r>
      <w:r w:rsidRPr="00EE6ED5">
        <w:rPr>
          <w:rFonts w:ascii="Roboto" w:eastAsia="Times New Roman" w:hAnsi="Roboto" w:cs="Times New Roman"/>
          <w:color w:val="333333"/>
          <w:szCs w:val="24"/>
          <w:highlight w:val="yellow"/>
          <w:vertAlign w:val="superscript"/>
          <w:lang w:eastAsia="en-AU"/>
        </w:rPr>
        <w:t>2</w:t>
      </w:r>
    </w:p>
    <w:p w:rsidR="00D46F3B" w:rsidRPr="00D46F3B" w:rsidRDefault="00D46F3B" w:rsidP="00D46F3B">
      <w:pPr>
        <w:shd w:val="clear" w:color="auto" w:fill="FFFFFF"/>
        <w:spacing w:after="90" w:line="240" w:lineRule="auto"/>
        <w:textAlignment w:val="top"/>
        <w:rPr>
          <w:rFonts w:ascii="Roboto" w:eastAsia="Times New Roman" w:hAnsi="Roboto" w:cs="Times New Roman"/>
          <w:color w:val="333333"/>
          <w:sz w:val="16"/>
          <w:szCs w:val="16"/>
          <w:lang w:eastAsia="en-AU"/>
        </w:rPr>
      </w:pPr>
      <w:r w:rsidRPr="00D46F3B">
        <w:rPr>
          <w:rFonts w:ascii="Roboto" w:eastAsia="Times New Roman" w:hAnsi="Roboto" w:cs="Times New Roman"/>
          <w:color w:val="333333"/>
          <w:sz w:val="16"/>
          <w:szCs w:val="16"/>
          <w:lang w:eastAsia="en-AU"/>
        </w:rPr>
        <w:t> </w:t>
      </w:r>
    </w:p>
    <w:p w:rsidR="00D46F3B" w:rsidRPr="00D46F3B" w:rsidRDefault="00D46F3B" w:rsidP="00D46F3B">
      <w:pPr>
        <w:shd w:val="clear" w:color="auto" w:fill="FFFFFF"/>
        <w:spacing w:after="0" w:line="240" w:lineRule="auto"/>
        <w:textAlignment w:val="top"/>
        <w:rPr>
          <w:rFonts w:ascii="Roboto" w:eastAsia="Times New Roman" w:hAnsi="Roboto" w:cs="Times New Roman"/>
          <w:b/>
          <w:color w:val="333333"/>
          <w:szCs w:val="24"/>
          <w:lang w:eastAsia="en-AU"/>
        </w:rPr>
      </w:pPr>
      <w:r w:rsidRPr="00D46F3B">
        <w:rPr>
          <w:rFonts w:ascii="Roboto" w:eastAsia="Times New Roman" w:hAnsi="Roboto" w:cs="Times New Roman"/>
          <w:b/>
          <w:i/>
          <w:iCs/>
          <w:color w:val="333333"/>
          <w:szCs w:val="24"/>
          <w:lang w:eastAsia="en-AU"/>
        </w:rPr>
        <w:t>The crawling peg: 1976 to 1983</w:t>
      </w:r>
    </w:p>
    <w:p w:rsidR="00D46F3B" w:rsidRPr="00D46F3B" w:rsidRDefault="00D46F3B" w:rsidP="00D46F3B">
      <w:pPr>
        <w:pStyle w:val="NormalWeb"/>
        <w:shd w:val="clear" w:color="auto" w:fill="FFFFFF"/>
        <w:spacing w:before="0" w:beforeAutospacing="0" w:after="90" w:afterAutospacing="0"/>
        <w:textAlignment w:val="top"/>
        <w:rPr>
          <w:rFonts w:ascii="Roboto" w:hAnsi="Roboto"/>
          <w:color w:val="333333"/>
        </w:rPr>
      </w:pPr>
      <w:r w:rsidRPr="00D46F3B">
        <w:rPr>
          <w:rFonts w:ascii="Roboto" w:hAnsi="Roboto"/>
          <w:color w:val="333333"/>
        </w:rPr>
        <w:t xml:space="preserve">In November 1976 the $A was further devalued by 17.5 per cent and the exchange rate regime was once again changed. Instead of the adjustable peg tied to the </w:t>
      </w:r>
      <w:proofErr w:type="spellStart"/>
      <w:r w:rsidRPr="00D46F3B">
        <w:rPr>
          <w:rFonts w:ascii="Roboto" w:hAnsi="Roboto"/>
          <w:color w:val="333333"/>
        </w:rPr>
        <w:t>TWI</w:t>
      </w:r>
      <w:proofErr w:type="spellEnd"/>
      <w:r w:rsidRPr="00D46F3B">
        <w:rPr>
          <w:rFonts w:ascii="Roboto" w:hAnsi="Roboto"/>
          <w:color w:val="333333"/>
        </w:rPr>
        <w:t xml:space="preserve"> that had been introduced in 1974, a crawling peg arrangement was adopted, often referred to as ‘floating at anchor’. A Cabinet Committee determined the range within which the currency could move on the advice of an Exchange </w:t>
      </w:r>
      <w:r w:rsidRPr="00D46F3B">
        <w:rPr>
          <w:rFonts w:ascii="Roboto" w:hAnsi="Roboto"/>
          <w:color w:val="333333"/>
        </w:rPr>
        <w:lastRenderedPageBreak/>
        <w:t>Management Group of officials, the so-called Troika, later the Group of Four. This group consisted of the Secretaries of the Departments of Treasury and Prime Minister and Cabinet (</w:t>
      </w:r>
      <w:proofErr w:type="spellStart"/>
      <w:r w:rsidRPr="00D46F3B">
        <w:rPr>
          <w:rFonts w:ascii="Roboto" w:hAnsi="Roboto"/>
          <w:color w:val="333333"/>
        </w:rPr>
        <w:t>PM&amp;C</w:t>
      </w:r>
      <w:proofErr w:type="spellEnd"/>
      <w:r w:rsidRPr="00D46F3B">
        <w:rPr>
          <w:rFonts w:ascii="Roboto" w:hAnsi="Roboto"/>
          <w:color w:val="333333"/>
        </w:rPr>
        <w:t xml:space="preserve">) and the Governor of the Reserve Bank (later the Under-Secretary of </w:t>
      </w:r>
      <w:proofErr w:type="spellStart"/>
      <w:r w:rsidRPr="00D46F3B">
        <w:rPr>
          <w:rFonts w:ascii="Roboto" w:hAnsi="Roboto"/>
          <w:color w:val="333333"/>
        </w:rPr>
        <w:t>PM&amp;C</w:t>
      </w:r>
      <w:proofErr w:type="spellEnd"/>
      <w:r w:rsidRPr="00D46F3B">
        <w:rPr>
          <w:rFonts w:ascii="Roboto" w:hAnsi="Roboto"/>
          <w:color w:val="333333"/>
        </w:rPr>
        <w:t xml:space="preserve"> also joined this group). The Reserve Bank had the responsibility for resetting the exchange rate on a daily basis to ensure that the range decided upon by the government was rendered effective in the exchange market. At the beginning of the day, the banks were informed of the rate at which the Bank would purchase either Australian or foreign currency at the end of the day. Responsibility for exchange rate policy remained with the government, but the result of this new arrangement was that the setting of the $A became more flexible than it had been previously.</w:t>
      </w:r>
    </w:p>
    <w:p w:rsidR="00D46F3B" w:rsidRPr="00D46F3B" w:rsidRDefault="00D46F3B" w:rsidP="00D46F3B">
      <w:pPr>
        <w:pStyle w:val="NormalWeb"/>
        <w:shd w:val="clear" w:color="auto" w:fill="FFFFFF"/>
        <w:spacing w:before="0" w:beforeAutospacing="0" w:after="90" w:afterAutospacing="0"/>
        <w:textAlignment w:val="top"/>
        <w:rPr>
          <w:rFonts w:ascii="Roboto" w:hAnsi="Roboto"/>
          <w:color w:val="333333"/>
        </w:rPr>
      </w:pPr>
      <w:r w:rsidRPr="00D46F3B">
        <w:rPr>
          <w:rFonts w:ascii="Roboto" w:hAnsi="Roboto"/>
          <w:color w:val="333333"/>
        </w:rPr>
        <w:t>However, the changing financial environment added increasingly to the challenges of exchange rate management. While the exchange rate regime adopted in 1976 had been appropriate to conditions at the time, it was difficult to produce an exchange rate that followed a smooth but flexible course, and the growing integration of overseas and Australian financial markets presented new challenges. The expansion of currency hedge facilities and greater sophistication in financial markets had all served to heighten market sensitivity to developments overseas, especially to expected movements in exchange rates. In this environment, exchange rate adjustments were frequently out of line with market expectations, leading to large and disruptive foreign exchange flows (in both directions).</w:t>
      </w:r>
    </w:p>
    <w:p w:rsidR="00D46F3B" w:rsidRPr="00D46F3B" w:rsidRDefault="00D46F3B" w:rsidP="00D46F3B">
      <w:pPr>
        <w:pStyle w:val="NormalWeb"/>
        <w:shd w:val="clear" w:color="auto" w:fill="FFFFFF"/>
        <w:spacing w:before="0" w:beforeAutospacing="0" w:after="90" w:afterAutospacing="0"/>
        <w:textAlignment w:val="top"/>
        <w:rPr>
          <w:rFonts w:ascii="Roboto" w:hAnsi="Roboto"/>
          <w:color w:val="333333"/>
        </w:rPr>
      </w:pPr>
      <w:r w:rsidRPr="00D46F3B">
        <w:rPr>
          <w:rFonts w:ascii="Roboto" w:hAnsi="Roboto"/>
          <w:color w:val="333333"/>
        </w:rPr>
        <w:t>The official position at the Reserve Bank was that while a floating system had merit in principle, its adoption should be delayed until an appropriate institutional framework was established and both domestic and international circumstances were favourable. Governor Harold Knight summed up the Bank’s position in his testimony to the Campbell Committee in October 1979. Paraphrasing St Augustine (who had famously said ‘God make me pure, but not yet’), Knight explained that ‘the Bank looked forward to the day when a floating rate was possible, but its time had not yet arrived’. In contrast, the Campbell Committee’s report, delivered in 1981, recommended that the government adopt a ‘managed float’ of the $A as quickly as possible on the grounds that it would enable authorities to undertake an independent monetary policy aimed at keeping inflation in check. (In a managed float, commonly called a ‘dirty float’, the authorities could intervene for the purpose of smoothing erratic movements in the rate and testing the viability of particular rates.)</w:t>
      </w:r>
    </w:p>
    <w:p w:rsidR="00D46F3B" w:rsidRPr="00D46F3B" w:rsidRDefault="00D46F3B" w:rsidP="00D46F3B">
      <w:pPr>
        <w:pStyle w:val="NormalWeb"/>
        <w:shd w:val="clear" w:color="auto" w:fill="FFFFFF"/>
        <w:spacing w:before="0" w:beforeAutospacing="0" w:after="90" w:afterAutospacing="0"/>
        <w:textAlignment w:val="top"/>
        <w:rPr>
          <w:rFonts w:ascii="Roboto" w:hAnsi="Roboto"/>
          <w:color w:val="333333"/>
        </w:rPr>
      </w:pPr>
      <w:r w:rsidRPr="00D46F3B">
        <w:rPr>
          <w:rFonts w:ascii="Roboto" w:hAnsi="Roboto"/>
          <w:color w:val="333333"/>
        </w:rPr>
        <w:t>After the release of the Campbell report, the Bank undertook a number of pieces of work to determine how a managed float might evolve. This included preparation of a ‘War Book’ which set out in general terms the procedures that would be adopted if required to float the $A. It was drafted in early 1982 and updated regularly from the middle of 1982. This detailed work meant that the Bank was prepared in the event of a sudden decision by the government to float.</w:t>
      </w:r>
    </w:p>
    <w:p w:rsidR="00D46F3B" w:rsidRPr="00D46F3B" w:rsidRDefault="00D46F3B" w:rsidP="004E6B1A">
      <w:pPr>
        <w:pStyle w:val="NormalWeb"/>
        <w:shd w:val="clear" w:color="auto" w:fill="FFFFFF"/>
        <w:spacing w:before="0" w:beforeAutospacing="0" w:after="0" w:afterAutospacing="0"/>
        <w:textAlignment w:val="top"/>
        <w:rPr>
          <w:rFonts w:ascii="Roboto" w:hAnsi="Roboto"/>
          <w:color w:val="333333"/>
        </w:rPr>
      </w:pPr>
      <w:r w:rsidRPr="00D46F3B">
        <w:rPr>
          <w:rFonts w:ascii="Roboto" w:hAnsi="Roboto"/>
          <w:color w:val="333333"/>
        </w:rPr>
        <w:t>The preparations made by the Reserve Bank for a possible float positioned the Bank well when during the second half of 1983 capital inflows mounted and began to destabilise monetary policy. (Capital inflows stemmed from a post-drought rebound in economic activity, rising commodity prices and a positive interest rate differential with major economies.) The Bank’s Governor Robert (Bob) Johnston advised the Treasurer to float the currency, but this was opposed by the Treasury which recommended evolutionary change by floating the forward exchange rate and shifting the time at which the exchange rate was set each day (from 9.30 am to the end of the day) as a means of discouraging speculators. Changes based upon Treasury’s recommendations were announced on 28 October and moderated the capital inflows for a time. This was because setting the exchange rate later in the day reduced scope for traders to take advantage of exchange rate movements during the day on Asian markets while the official $A rate was fixed. The Bank also withdrew from day-to-day forward exchange operations which it had been underwriting since 1939, allowing forward exchange rates to respond directly to supply and demand forces. These measures produced a short period of calm in markets.</w:t>
      </w:r>
    </w:p>
    <w:p w:rsidR="00EE6ED5" w:rsidRDefault="00D46F3B" w:rsidP="00D15F58">
      <w:pPr>
        <w:pStyle w:val="NormalWeb"/>
        <w:shd w:val="clear" w:color="auto" w:fill="FFFFFF"/>
        <w:spacing w:before="0" w:beforeAutospacing="0" w:after="90" w:afterAutospacing="0"/>
        <w:textAlignment w:val="top"/>
        <w:rPr>
          <w:rStyle w:val="Emphasis"/>
          <w:rFonts w:ascii="Roboto" w:hAnsi="Roboto"/>
          <w:b/>
          <w:color w:val="333333"/>
        </w:rPr>
      </w:pPr>
      <w:r w:rsidRPr="004E6B1A">
        <w:rPr>
          <w:rFonts w:ascii="Roboto" w:hAnsi="Roboto"/>
          <w:color w:val="333333"/>
          <w:sz w:val="16"/>
          <w:szCs w:val="16"/>
        </w:rPr>
        <w:t> </w:t>
      </w:r>
      <w:r w:rsidRPr="004E6B1A">
        <w:rPr>
          <w:rStyle w:val="Emphasis"/>
          <w:rFonts w:ascii="Roboto" w:hAnsi="Roboto"/>
          <w:b/>
          <w:color w:val="333333"/>
        </w:rPr>
        <w:br/>
      </w:r>
      <w:r w:rsidR="00EE6ED5">
        <w:rPr>
          <w:rStyle w:val="Emphasis"/>
          <w:rFonts w:ascii="Roboto" w:hAnsi="Roboto"/>
          <w:b/>
          <w:color w:val="333333"/>
        </w:rPr>
        <w:t> </w:t>
      </w:r>
    </w:p>
    <w:p w:rsidR="00D46F3B" w:rsidRPr="00D46F3B" w:rsidRDefault="00D46F3B" w:rsidP="00EE6ED5">
      <w:pPr>
        <w:pStyle w:val="NormalWeb"/>
        <w:shd w:val="clear" w:color="auto" w:fill="FFFFFF"/>
        <w:spacing w:before="0" w:beforeAutospacing="0" w:after="60" w:afterAutospacing="0"/>
        <w:textAlignment w:val="top"/>
        <w:rPr>
          <w:rFonts w:ascii="Roboto" w:hAnsi="Roboto"/>
          <w:b/>
          <w:color w:val="333333"/>
        </w:rPr>
      </w:pPr>
      <w:bookmarkStart w:id="0" w:name="_GoBack"/>
      <w:r>
        <w:rPr>
          <w:rStyle w:val="Emphasis"/>
          <w:rFonts w:ascii="Roboto" w:hAnsi="Roboto"/>
          <w:b/>
          <w:color w:val="333333"/>
        </w:rPr>
        <w:lastRenderedPageBreak/>
        <w:t>T</w:t>
      </w:r>
      <w:r w:rsidRPr="00D46F3B">
        <w:rPr>
          <w:rStyle w:val="Emphasis"/>
          <w:rFonts w:ascii="Roboto" w:hAnsi="Roboto"/>
          <w:b/>
          <w:color w:val="333333"/>
        </w:rPr>
        <w:t>he Decision to Float the Dollar</w:t>
      </w:r>
    </w:p>
    <w:bookmarkEnd w:id="0"/>
    <w:p w:rsidR="00D46F3B" w:rsidRPr="00D46F3B" w:rsidRDefault="00D46F3B" w:rsidP="00D46F3B">
      <w:pPr>
        <w:pStyle w:val="NormalWeb"/>
        <w:shd w:val="clear" w:color="auto" w:fill="FFFFFF"/>
        <w:spacing w:before="0" w:beforeAutospacing="0" w:after="90" w:afterAutospacing="0"/>
        <w:textAlignment w:val="top"/>
        <w:rPr>
          <w:rFonts w:ascii="Roboto" w:hAnsi="Roboto"/>
          <w:color w:val="333333"/>
        </w:rPr>
      </w:pPr>
      <w:r w:rsidRPr="00D46F3B">
        <w:rPr>
          <w:rFonts w:ascii="Roboto" w:hAnsi="Roboto"/>
          <w:color w:val="333333"/>
        </w:rPr>
        <w:t>While the revised currency arrangement in the latter part of 1983 helped prevent disruptive capital flows arising from overnight position-taking in the foreign exchange market, they did not prevent longer term speculative pressures on the $A. As capital inflows continued to mount in November 1983, there was another effort to suppress the increase in the value of the Australian dollar in an unsuccessful attempt to inhibit the inflow. The continuation of large capital inflows was now dominating domestic monetary management and by the first week of December, markets were in disorder.</w:t>
      </w:r>
    </w:p>
    <w:p w:rsidR="00D46F3B" w:rsidRPr="00D46F3B" w:rsidRDefault="00D46F3B" w:rsidP="00D46F3B">
      <w:pPr>
        <w:pStyle w:val="NormalWeb"/>
        <w:shd w:val="clear" w:color="auto" w:fill="FFFFFF"/>
        <w:spacing w:before="0" w:beforeAutospacing="0" w:after="90" w:afterAutospacing="0"/>
        <w:textAlignment w:val="top"/>
        <w:rPr>
          <w:rFonts w:ascii="Roboto" w:hAnsi="Roboto"/>
          <w:color w:val="333333"/>
        </w:rPr>
      </w:pPr>
      <w:r w:rsidRPr="00D46F3B">
        <w:rPr>
          <w:rFonts w:ascii="Roboto" w:hAnsi="Roboto"/>
          <w:color w:val="333333"/>
        </w:rPr>
        <w:t xml:space="preserve">The last sitting day of the federal parliament for 1983 was Thursday 8 December. Throughout the day the Treasurer received information from Treasury, the Reserve Bank and his personal advisors about the ongoing surge in capital inflows that was likely to accelerate further in coming days. In the early hours of Friday 9 December, the Treasurer called Governor Johnston and it was decided to close the foreign exchange market for the day. The Treasurer also directed Johnston and senior Bank staff (who included Deputy Governor Don Sanders and Chief Manager of Financial Markets Group John Phillips) to travel to Canberra.  They went immediately into meetings with the Prime Minister Bob Hawke and Treasurer Paul Keating, their private advisers (including Ross Garnaut), and officials from the Departments of Treasury (including Secretary John Stone) and </w:t>
      </w:r>
      <w:proofErr w:type="spellStart"/>
      <w:r w:rsidRPr="00D46F3B">
        <w:rPr>
          <w:rFonts w:ascii="Roboto" w:hAnsi="Roboto"/>
          <w:color w:val="333333"/>
        </w:rPr>
        <w:t>PM&amp;C</w:t>
      </w:r>
      <w:proofErr w:type="spellEnd"/>
      <w:r w:rsidRPr="00D46F3B">
        <w:rPr>
          <w:rFonts w:ascii="Roboto" w:hAnsi="Roboto"/>
          <w:color w:val="333333"/>
        </w:rPr>
        <w:t xml:space="preserve">. </w:t>
      </w:r>
      <w:r w:rsidRPr="004E6B1A">
        <w:rPr>
          <w:rFonts w:ascii="Roboto" w:hAnsi="Roboto"/>
          <w:color w:val="333333"/>
          <w:highlight w:val="yellow"/>
        </w:rPr>
        <w:t xml:space="preserve">The Bank advised that the $A should be floated immediately, a view shared by the Prime Minister and Treasurer, their personal advisers and officials from </w:t>
      </w:r>
      <w:proofErr w:type="spellStart"/>
      <w:r w:rsidRPr="004E6B1A">
        <w:rPr>
          <w:rFonts w:ascii="Roboto" w:hAnsi="Roboto"/>
          <w:color w:val="333333"/>
          <w:highlight w:val="yellow"/>
        </w:rPr>
        <w:t>PM&amp;C</w:t>
      </w:r>
      <w:proofErr w:type="spellEnd"/>
      <w:r w:rsidRPr="004E6B1A">
        <w:rPr>
          <w:rFonts w:ascii="Roboto" w:hAnsi="Roboto"/>
          <w:color w:val="333333"/>
          <w:highlight w:val="yellow"/>
        </w:rPr>
        <w:t>. The Treasury, however, opposed the float on largely pragmatic grounds believing that the $A would appreciate, perhaps by as much as 5–20 per cent, and inhibit the economic recovery that was under way from the recent recession.</w:t>
      </w:r>
    </w:p>
    <w:p w:rsidR="00D46F3B" w:rsidRPr="00D46F3B" w:rsidRDefault="00D46F3B" w:rsidP="00D46F3B">
      <w:pPr>
        <w:pStyle w:val="NormalWeb"/>
        <w:shd w:val="clear" w:color="auto" w:fill="FFFFFF"/>
        <w:spacing w:before="0" w:beforeAutospacing="0" w:after="90" w:afterAutospacing="0"/>
        <w:textAlignment w:val="top"/>
        <w:rPr>
          <w:rFonts w:ascii="Roboto" w:hAnsi="Roboto"/>
          <w:color w:val="333333"/>
        </w:rPr>
      </w:pPr>
      <w:r w:rsidRPr="00D46F3B">
        <w:rPr>
          <w:rFonts w:ascii="Roboto" w:hAnsi="Roboto"/>
          <w:color w:val="333333"/>
        </w:rPr>
        <w:t>A meeting of the Cabinet Economic Policy Committee (</w:t>
      </w:r>
      <w:proofErr w:type="spellStart"/>
      <w:r w:rsidRPr="00D46F3B">
        <w:rPr>
          <w:rFonts w:ascii="Roboto" w:hAnsi="Roboto"/>
          <w:color w:val="333333"/>
        </w:rPr>
        <w:t>EPC</w:t>
      </w:r>
      <w:proofErr w:type="spellEnd"/>
      <w:r w:rsidRPr="00D46F3B">
        <w:rPr>
          <w:rFonts w:ascii="Roboto" w:hAnsi="Roboto"/>
          <w:color w:val="333333"/>
        </w:rPr>
        <w:t xml:space="preserve">) was called once the officials had prepared written advice for the ministers. </w:t>
      </w:r>
      <w:r w:rsidRPr="004E6B1A">
        <w:rPr>
          <w:rFonts w:ascii="Roboto" w:hAnsi="Roboto"/>
          <w:color w:val="333333"/>
          <w:highlight w:val="yellow"/>
        </w:rPr>
        <w:t xml:space="preserve">The </w:t>
      </w:r>
      <w:proofErr w:type="spellStart"/>
      <w:r w:rsidRPr="004E6B1A">
        <w:rPr>
          <w:rFonts w:ascii="Roboto" w:hAnsi="Roboto"/>
          <w:color w:val="333333"/>
          <w:highlight w:val="yellow"/>
        </w:rPr>
        <w:t>EPC</w:t>
      </w:r>
      <w:proofErr w:type="spellEnd"/>
      <w:r w:rsidRPr="004E6B1A">
        <w:rPr>
          <w:rFonts w:ascii="Roboto" w:hAnsi="Roboto"/>
          <w:color w:val="333333"/>
          <w:highlight w:val="yellow"/>
        </w:rPr>
        <w:t xml:space="preserve"> agreed that the currency should be floated as soon as possible as a means of halting the excessive inflow of capital and speculation about a rise in the value of the $A. At 5.45 pm the Treasurer, accompanied by Johnston, announced in a press conference the decision to float the $</w:t>
      </w:r>
      <w:proofErr w:type="gramStart"/>
      <w:r w:rsidRPr="004E6B1A">
        <w:rPr>
          <w:rFonts w:ascii="Roboto" w:hAnsi="Roboto"/>
          <w:color w:val="333333"/>
          <w:highlight w:val="yellow"/>
        </w:rPr>
        <w:t>A and</w:t>
      </w:r>
      <w:proofErr w:type="gramEnd"/>
      <w:r w:rsidRPr="004E6B1A">
        <w:rPr>
          <w:rFonts w:ascii="Roboto" w:hAnsi="Roboto"/>
          <w:color w:val="333333"/>
          <w:highlight w:val="yellow"/>
        </w:rPr>
        <w:t xml:space="preserve"> abolish most of the exchange controls effective on the re-opening of the markets on Monday 12 December.</w:t>
      </w:r>
    </w:p>
    <w:p w:rsidR="00D46F3B" w:rsidRPr="00D46F3B" w:rsidRDefault="00D46F3B" w:rsidP="00D46F3B">
      <w:pPr>
        <w:pStyle w:val="NormalWeb"/>
        <w:shd w:val="clear" w:color="auto" w:fill="FFFFFF"/>
        <w:spacing w:before="0" w:beforeAutospacing="0" w:after="90" w:afterAutospacing="0"/>
        <w:textAlignment w:val="top"/>
        <w:rPr>
          <w:rFonts w:ascii="Roboto" w:hAnsi="Roboto"/>
          <w:color w:val="333333"/>
        </w:rPr>
      </w:pPr>
      <w:r w:rsidRPr="00D46F3B">
        <w:rPr>
          <w:rFonts w:ascii="Roboto" w:hAnsi="Roboto"/>
          <w:color w:val="333333"/>
        </w:rPr>
        <w:t>With the exchange rate floating it was agreed that there would be minimum intervention by the Bank. It would intervene to ensure that the government’s foreign exchange requirements were met, it would sell off its forward book and gradually reduce its foreign reserve holdings. Beyond that, it would intervene from time to time with the aim of ‘testing and smoothing’ movements in the exchange rate. Phillips explained the situation when he informed the Bank’s Board on 10 January that the ’float is therefore not to be a clean one – but equally the hope is that it will not be too dirty – just slightly soiled’.</w:t>
      </w:r>
    </w:p>
    <w:p w:rsidR="00D46F3B" w:rsidRPr="00D46F3B" w:rsidRDefault="00D46F3B" w:rsidP="00D46F3B">
      <w:pPr>
        <w:pStyle w:val="NormalWeb"/>
        <w:shd w:val="clear" w:color="auto" w:fill="FFFFFF"/>
        <w:spacing w:before="0" w:beforeAutospacing="0" w:after="0" w:afterAutospacing="0"/>
        <w:textAlignment w:val="top"/>
        <w:rPr>
          <w:rFonts w:ascii="Roboto" w:hAnsi="Roboto"/>
          <w:b/>
          <w:color w:val="333333"/>
        </w:rPr>
      </w:pPr>
      <w:r w:rsidRPr="00D46F3B">
        <w:rPr>
          <w:rStyle w:val="Emphasis"/>
          <w:rFonts w:ascii="Roboto" w:hAnsi="Roboto"/>
          <w:b/>
          <w:color w:val="333333"/>
        </w:rPr>
        <w:t>Aftermath</w:t>
      </w:r>
    </w:p>
    <w:p w:rsidR="00D46F3B" w:rsidRPr="00D46F3B" w:rsidRDefault="00D46F3B" w:rsidP="00D46F3B">
      <w:pPr>
        <w:pStyle w:val="NormalWeb"/>
        <w:shd w:val="clear" w:color="auto" w:fill="FFFFFF"/>
        <w:spacing w:before="0" w:beforeAutospacing="0" w:after="90" w:afterAutospacing="0"/>
        <w:textAlignment w:val="top"/>
        <w:rPr>
          <w:rFonts w:ascii="Roboto" w:hAnsi="Roboto"/>
          <w:color w:val="333333"/>
        </w:rPr>
      </w:pPr>
      <w:r w:rsidRPr="00D46F3B">
        <w:rPr>
          <w:rFonts w:ascii="Roboto" w:hAnsi="Roboto"/>
          <w:color w:val="333333"/>
          <w:highlight w:val="yellow"/>
        </w:rPr>
        <w:t>In the first few days after the float there was some within-day volatility in the exchange rate. This culminated in a sharp drop in the $A/$US rate and a ballooning of the gap between the bid price and the asking price in early trading of the $</w:t>
      </w:r>
      <w:proofErr w:type="gramStart"/>
      <w:r w:rsidRPr="00D46F3B">
        <w:rPr>
          <w:rFonts w:ascii="Roboto" w:hAnsi="Roboto"/>
          <w:color w:val="333333"/>
          <w:highlight w:val="yellow"/>
        </w:rPr>
        <w:t>A</w:t>
      </w:r>
      <w:proofErr w:type="gramEnd"/>
      <w:r w:rsidRPr="00D46F3B">
        <w:rPr>
          <w:rFonts w:ascii="Roboto" w:hAnsi="Roboto"/>
          <w:color w:val="333333"/>
          <w:highlight w:val="yellow"/>
        </w:rPr>
        <w:t xml:space="preserve"> on 20 December 1983. There were further episodes of exchange rate volatility in February and March 1984. However, despite these bouts of volatility, the overall fluctuation in the Australian dollar was not out of line with the experience of other floating exchange rates.</w:t>
      </w:r>
    </w:p>
    <w:p w:rsidR="00D46F3B" w:rsidRPr="00D46F3B" w:rsidRDefault="00D46F3B" w:rsidP="00D46F3B">
      <w:pPr>
        <w:pStyle w:val="NormalWeb"/>
        <w:shd w:val="clear" w:color="auto" w:fill="FFFFFF"/>
        <w:spacing w:before="0" w:beforeAutospacing="0" w:after="90" w:afterAutospacing="0"/>
        <w:textAlignment w:val="top"/>
        <w:rPr>
          <w:rFonts w:ascii="Roboto" w:hAnsi="Roboto"/>
          <w:color w:val="333333"/>
        </w:rPr>
      </w:pPr>
      <w:r w:rsidRPr="00D46F3B">
        <w:rPr>
          <w:rFonts w:ascii="Roboto" w:hAnsi="Roboto"/>
          <w:color w:val="333333"/>
        </w:rPr>
        <w:t>On 25 June 1984 there were changes to Australia’s remaining exchange control arrangements relating to the Government’s tax screening arrangements that had been foreshadowed when most of the exchanged controls had been discontinued in December.</w:t>
      </w:r>
    </w:p>
    <w:p w:rsidR="00D46F3B" w:rsidRPr="00D46F3B" w:rsidRDefault="00D46F3B" w:rsidP="00D46F3B">
      <w:pPr>
        <w:pStyle w:val="NormalWeb"/>
        <w:shd w:val="clear" w:color="auto" w:fill="FFFFFF"/>
        <w:spacing w:before="0" w:beforeAutospacing="0" w:after="90" w:afterAutospacing="0"/>
        <w:textAlignment w:val="top"/>
        <w:rPr>
          <w:rFonts w:ascii="Roboto" w:hAnsi="Roboto"/>
          <w:color w:val="333333"/>
        </w:rPr>
      </w:pPr>
      <w:r w:rsidRPr="00D46F3B">
        <w:rPr>
          <w:rFonts w:ascii="Roboto" w:hAnsi="Roboto"/>
          <w:color w:val="333333"/>
          <w:highlight w:val="yellow"/>
        </w:rPr>
        <w:t>The float of the Australian dollar combined with interest rate flexibility gave the Bank greater control of the cash rate, enabling its effective use as an instrument of monetary policy.</w:t>
      </w:r>
    </w:p>
    <w:p w:rsidR="00D46F3B" w:rsidRPr="00D46F3B" w:rsidRDefault="00D46F3B" w:rsidP="00D46F3B">
      <w:pPr>
        <w:pStyle w:val="NormalWeb"/>
        <w:shd w:val="clear" w:color="auto" w:fill="FFFFFF"/>
        <w:spacing w:before="0" w:beforeAutospacing="0" w:after="90" w:afterAutospacing="0"/>
        <w:textAlignment w:val="top"/>
        <w:rPr>
          <w:rFonts w:ascii="Roboto" w:hAnsi="Roboto"/>
          <w:color w:val="333333"/>
        </w:rPr>
      </w:pPr>
      <w:r w:rsidRPr="00D46F3B">
        <w:rPr>
          <w:rFonts w:ascii="Roboto" w:hAnsi="Roboto"/>
          <w:color w:val="333333"/>
        </w:rPr>
        <w:t> </w:t>
      </w:r>
    </w:p>
    <w:sectPr w:rsidR="00D46F3B" w:rsidRPr="00D46F3B" w:rsidSect="00603384">
      <w:headerReference w:type="even" r:id="rId7"/>
      <w:headerReference w:type="default" r:id="rId8"/>
      <w:footerReference w:type="even" r:id="rId9"/>
      <w:footerReference w:type="default" r:id="rId10"/>
      <w:headerReference w:type="first" r:id="rId11"/>
      <w:footerReference w:type="first" r:id="rId12"/>
      <w:pgSz w:w="11906" w:h="16838"/>
      <w:pgMar w:top="1021"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FC0" w:rsidRDefault="00DB5FC0" w:rsidP="00603384">
      <w:pPr>
        <w:spacing w:after="0" w:line="240" w:lineRule="auto"/>
      </w:pPr>
      <w:r>
        <w:separator/>
      </w:r>
    </w:p>
  </w:endnote>
  <w:endnote w:type="continuationSeparator" w:id="0">
    <w:p w:rsidR="00DB5FC0" w:rsidRDefault="00DB5FC0" w:rsidP="00603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84" w:rsidRDefault="006033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84" w:rsidRDefault="006033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84" w:rsidRDefault="00603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FC0" w:rsidRDefault="00DB5FC0" w:rsidP="00603384">
      <w:pPr>
        <w:spacing w:after="0" w:line="240" w:lineRule="auto"/>
      </w:pPr>
      <w:r>
        <w:separator/>
      </w:r>
    </w:p>
  </w:footnote>
  <w:footnote w:type="continuationSeparator" w:id="0">
    <w:p w:rsidR="00DB5FC0" w:rsidRDefault="00DB5FC0" w:rsidP="00603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84" w:rsidRDefault="006033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746828"/>
      <w:docPartObj>
        <w:docPartGallery w:val="Page Numbers (Top of Page)"/>
        <w:docPartUnique/>
      </w:docPartObj>
    </w:sdtPr>
    <w:sdtEndPr>
      <w:rPr>
        <w:noProof/>
      </w:rPr>
    </w:sdtEndPr>
    <w:sdtContent>
      <w:p w:rsidR="00603384" w:rsidRDefault="00603384">
        <w:pPr>
          <w:pStyle w:val="Header"/>
          <w:jc w:val="center"/>
        </w:pPr>
        <w:r>
          <w:fldChar w:fldCharType="begin"/>
        </w:r>
        <w:r>
          <w:instrText xml:space="preserve"> PAGE   \* MERGEFORMAT </w:instrText>
        </w:r>
        <w:r>
          <w:fldChar w:fldCharType="separate"/>
        </w:r>
        <w:r w:rsidR="00EE6ED5">
          <w:rPr>
            <w:noProof/>
          </w:rPr>
          <w:t>2</w:t>
        </w:r>
        <w:r>
          <w:rPr>
            <w:noProof/>
          </w:rPr>
          <w:fldChar w:fldCharType="end"/>
        </w:r>
      </w:p>
    </w:sdtContent>
  </w:sdt>
  <w:p w:rsidR="00603384" w:rsidRDefault="006033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84" w:rsidRDefault="006033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50D"/>
    <w:multiLevelType w:val="multilevel"/>
    <w:tmpl w:val="9076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75A5C"/>
    <w:multiLevelType w:val="multilevel"/>
    <w:tmpl w:val="9EE8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D4D6E"/>
    <w:multiLevelType w:val="multilevel"/>
    <w:tmpl w:val="6EC4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B1A5A"/>
    <w:multiLevelType w:val="multilevel"/>
    <w:tmpl w:val="4002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525839"/>
    <w:multiLevelType w:val="multilevel"/>
    <w:tmpl w:val="953A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704217"/>
    <w:multiLevelType w:val="multilevel"/>
    <w:tmpl w:val="7BD4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784747"/>
    <w:multiLevelType w:val="multilevel"/>
    <w:tmpl w:val="45B4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3206C8"/>
    <w:multiLevelType w:val="multilevel"/>
    <w:tmpl w:val="882E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7A1A71"/>
    <w:multiLevelType w:val="multilevel"/>
    <w:tmpl w:val="2918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7E2195"/>
    <w:multiLevelType w:val="multilevel"/>
    <w:tmpl w:val="F46E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C452C5"/>
    <w:multiLevelType w:val="multilevel"/>
    <w:tmpl w:val="2278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AB6F29"/>
    <w:multiLevelType w:val="multilevel"/>
    <w:tmpl w:val="AF96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4"/>
  </w:num>
  <w:num w:numId="4">
    <w:abstractNumId w:val="2"/>
  </w:num>
  <w:num w:numId="5">
    <w:abstractNumId w:val="0"/>
  </w:num>
  <w:num w:numId="6">
    <w:abstractNumId w:val="9"/>
  </w:num>
  <w:num w:numId="7">
    <w:abstractNumId w:val="8"/>
  </w:num>
  <w:num w:numId="8">
    <w:abstractNumId w:val="3"/>
  </w:num>
  <w:num w:numId="9">
    <w:abstractNumId w:val="7"/>
  </w:num>
  <w:num w:numId="10">
    <w:abstractNumId w:val="1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2B"/>
    <w:rsid w:val="000E114F"/>
    <w:rsid w:val="004E6B1A"/>
    <w:rsid w:val="00603384"/>
    <w:rsid w:val="006761A6"/>
    <w:rsid w:val="006E4A2B"/>
    <w:rsid w:val="00704784"/>
    <w:rsid w:val="00882D2E"/>
    <w:rsid w:val="008A487E"/>
    <w:rsid w:val="00D15F58"/>
    <w:rsid w:val="00D46F3B"/>
    <w:rsid w:val="00DB5FC0"/>
    <w:rsid w:val="00DC1DC5"/>
    <w:rsid w:val="00EE6E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9FAD2-AF71-47B7-B3DE-4C0669EF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6"/>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4A2B"/>
    <w:pPr>
      <w:spacing w:before="100" w:beforeAutospacing="1" w:after="100" w:afterAutospacing="1" w:line="240" w:lineRule="auto"/>
      <w:outlineLvl w:val="0"/>
    </w:pPr>
    <w:rPr>
      <w:rFonts w:ascii="Times New Roman" w:eastAsia="Times New Roman" w:hAnsi="Times New Roman" w:cs="Times New Roman"/>
      <w:b/>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A2B"/>
    <w:rPr>
      <w:rFonts w:ascii="Times New Roman" w:eastAsia="Times New Roman" w:hAnsi="Times New Roman" w:cs="Times New Roman"/>
      <w:b/>
      <w:kern w:val="36"/>
      <w:sz w:val="48"/>
      <w:szCs w:val="48"/>
      <w:lang w:eastAsia="en-AU"/>
    </w:rPr>
  </w:style>
  <w:style w:type="character" w:customStyle="1" w:styleId="metadata">
    <w:name w:val="metadata"/>
    <w:basedOn w:val="DefaultParagraphFont"/>
    <w:rsid w:val="006E4A2B"/>
  </w:style>
  <w:style w:type="character" w:customStyle="1" w:styleId="titlelabel">
    <w:name w:val="titlelabel"/>
    <w:basedOn w:val="DefaultParagraphFont"/>
    <w:rsid w:val="006E4A2B"/>
  </w:style>
  <w:style w:type="paragraph" w:styleId="NormalWeb">
    <w:name w:val="Normal (Web)"/>
    <w:basedOn w:val="Normal"/>
    <w:uiPriority w:val="99"/>
    <w:unhideWhenUsed/>
    <w:rsid w:val="006E4A2B"/>
    <w:pPr>
      <w:spacing w:before="100" w:beforeAutospacing="1" w:after="100" w:afterAutospacing="1" w:line="240" w:lineRule="auto"/>
    </w:pPr>
    <w:rPr>
      <w:rFonts w:ascii="Times New Roman" w:eastAsia="Times New Roman" w:hAnsi="Times New Roman" w:cs="Times New Roman"/>
      <w:bCs/>
      <w:szCs w:val="24"/>
      <w:lang w:eastAsia="en-AU"/>
    </w:rPr>
  </w:style>
  <w:style w:type="character" w:styleId="Emphasis">
    <w:name w:val="Emphasis"/>
    <w:basedOn w:val="DefaultParagraphFont"/>
    <w:uiPriority w:val="20"/>
    <w:qFormat/>
    <w:rsid w:val="006E4A2B"/>
    <w:rPr>
      <w:i/>
      <w:iCs/>
    </w:rPr>
  </w:style>
  <w:style w:type="character" w:styleId="Strong">
    <w:name w:val="Strong"/>
    <w:basedOn w:val="DefaultParagraphFont"/>
    <w:uiPriority w:val="22"/>
    <w:qFormat/>
    <w:rsid w:val="006E4A2B"/>
    <w:rPr>
      <w:b/>
      <w:bCs/>
    </w:rPr>
  </w:style>
  <w:style w:type="character" w:styleId="Hyperlink">
    <w:name w:val="Hyperlink"/>
    <w:basedOn w:val="DefaultParagraphFont"/>
    <w:uiPriority w:val="99"/>
    <w:unhideWhenUsed/>
    <w:rsid w:val="006E4A2B"/>
    <w:rPr>
      <w:color w:val="0000FF" w:themeColor="hyperlink"/>
      <w:u w:val="single"/>
    </w:rPr>
  </w:style>
  <w:style w:type="character" w:customStyle="1" w:styleId="profilepictxt">
    <w:name w:val="profilepictxt"/>
    <w:basedOn w:val="DefaultParagraphFont"/>
    <w:rsid w:val="00D46F3B"/>
  </w:style>
  <w:style w:type="paragraph" w:styleId="Header">
    <w:name w:val="header"/>
    <w:basedOn w:val="Normal"/>
    <w:link w:val="HeaderChar"/>
    <w:uiPriority w:val="99"/>
    <w:unhideWhenUsed/>
    <w:rsid w:val="00603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384"/>
  </w:style>
  <w:style w:type="paragraph" w:styleId="Footer">
    <w:name w:val="footer"/>
    <w:basedOn w:val="Normal"/>
    <w:link w:val="FooterChar"/>
    <w:uiPriority w:val="99"/>
    <w:unhideWhenUsed/>
    <w:rsid w:val="00603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616349">
      <w:bodyDiv w:val="1"/>
      <w:marLeft w:val="0"/>
      <w:marRight w:val="0"/>
      <w:marTop w:val="0"/>
      <w:marBottom w:val="0"/>
      <w:divBdr>
        <w:top w:val="none" w:sz="0" w:space="0" w:color="auto"/>
        <w:left w:val="none" w:sz="0" w:space="0" w:color="auto"/>
        <w:bottom w:val="none" w:sz="0" w:space="0" w:color="auto"/>
        <w:right w:val="none" w:sz="0" w:space="0" w:color="auto"/>
      </w:divBdr>
      <w:divsChild>
        <w:div w:id="1450851766">
          <w:marLeft w:val="0"/>
          <w:marRight w:val="0"/>
          <w:marTop w:val="0"/>
          <w:marBottom w:val="0"/>
          <w:divBdr>
            <w:top w:val="none" w:sz="0" w:space="0" w:color="auto"/>
            <w:left w:val="none" w:sz="0" w:space="0" w:color="auto"/>
            <w:bottom w:val="none" w:sz="0" w:space="0" w:color="auto"/>
            <w:right w:val="none" w:sz="0" w:space="0" w:color="auto"/>
          </w:divBdr>
          <w:divsChild>
            <w:div w:id="1676377109">
              <w:marLeft w:val="0"/>
              <w:marRight w:val="0"/>
              <w:marTop w:val="0"/>
              <w:marBottom w:val="0"/>
              <w:divBdr>
                <w:top w:val="none" w:sz="0" w:space="0" w:color="auto"/>
                <w:left w:val="none" w:sz="0" w:space="0" w:color="auto"/>
                <w:bottom w:val="none" w:sz="0" w:space="0" w:color="auto"/>
                <w:right w:val="none" w:sz="0" w:space="0" w:color="auto"/>
              </w:divBdr>
            </w:div>
          </w:divsChild>
        </w:div>
        <w:div w:id="240455555">
          <w:marLeft w:val="300"/>
          <w:marRight w:val="300"/>
          <w:marTop w:val="300"/>
          <w:marBottom w:val="300"/>
          <w:divBdr>
            <w:top w:val="none" w:sz="0" w:space="0" w:color="auto"/>
            <w:left w:val="none" w:sz="0" w:space="0" w:color="auto"/>
            <w:bottom w:val="none" w:sz="0" w:space="0" w:color="auto"/>
            <w:right w:val="none" w:sz="0" w:space="0" w:color="auto"/>
          </w:divBdr>
          <w:divsChild>
            <w:div w:id="278148290">
              <w:marLeft w:val="0"/>
              <w:marRight w:val="0"/>
              <w:marTop w:val="0"/>
              <w:marBottom w:val="150"/>
              <w:divBdr>
                <w:top w:val="none" w:sz="0" w:space="0" w:color="auto"/>
                <w:left w:val="none" w:sz="0" w:space="0" w:color="auto"/>
                <w:bottom w:val="single" w:sz="6" w:space="0" w:color="333333"/>
                <w:right w:val="none" w:sz="0" w:space="0" w:color="auto"/>
              </w:divBdr>
            </w:div>
            <w:div w:id="1316884383">
              <w:marLeft w:val="0"/>
              <w:marRight w:val="0"/>
              <w:marTop w:val="0"/>
              <w:marBottom w:val="0"/>
              <w:divBdr>
                <w:top w:val="none" w:sz="0" w:space="0" w:color="auto"/>
                <w:left w:val="none" w:sz="0" w:space="0" w:color="auto"/>
                <w:bottom w:val="none" w:sz="0" w:space="0" w:color="auto"/>
                <w:right w:val="none" w:sz="0" w:space="0" w:color="auto"/>
              </w:divBdr>
            </w:div>
            <w:div w:id="426081554">
              <w:marLeft w:val="0"/>
              <w:marRight w:val="0"/>
              <w:marTop w:val="0"/>
              <w:marBottom w:val="0"/>
              <w:divBdr>
                <w:top w:val="none" w:sz="0" w:space="0" w:color="auto"/>
                <w:left w:val="none" w:sz="0" w:space="0" w:color="auto"/>
                <w:bottom w:val="none" w:sz="0" w:space="0" w:color="auto"/>
                <w:right w:val="none" w:sz="0" w:space="0" w:color="auto"/>
              </w:divBdr>
            </w:div>
            <w:div w:id="435828046">
              <w:marLeft w:val="0"/>
              <w:marRight w:val="0"/>
              <w:marTop w:val="0"/>
              <w:marBottom w:val="0"/>
              <w:divBdr>
                <w:top w:val="none" w:sz="0" w:space="0" w:color="auto"/>
                <w:left w:val="none" w:sz="0" w:space="0" w:color="auto"/>
                <w:bottom w:val="none" w:sz="0" w:space="0" w:color="auto"/>
                <w:right w:val="none" w:sz="0" w:space="0" w:color="auto"/>
              </w:divBdr>
            </w:div>
            <w:div w:id="1902980946">
              <w:marLeft w:val="0"/>
              <w:marRight w:val="0"/>
              <w:marTop w:val="0"/>
              <w:marBottom w:val="0"/>
              <w:divBdr>
                <w:top w:val="none" w:sz="0" w:space="0" w:color="auto"/>
                <w:left w:val="none" w:sz="0" w:space="0" w:color="auto"/>
                <w:bottom w:val="none" w:sz="0" w:space="0" w:color="auto"/>
                <w:right w:val="none" w:sz="0" w:space="0" w:color="auto"/>
              </w:divBdr>
            </w:div>
            <w:div w:id="1589926634">
              <w:marLeft w:val="0"/>
              <w:marRight w:val="0"/>
              <w:marTop w:val="0"/>
              <w:marBottom w:val="0"/>
              <w:divBdr>
                <w:top w:val="none" w:sz="0" w:space="0" w:color="auto"/>
                <w:left w:val="none" w:sz="0" w:space="0" w:color="auto"/>
                <w:bottom w:val="none" w:sz="0" w:space="0" w:color="auto"/>
                <w:right w:val="none" w:sz="0" w:space="0" w:color="auto"/>
              </w:divBdr>
            </w:div>
            <w:div w:id="487550583">
              <w:marLeft w:val="0"/>
              <w:marRight w:val="0"/>
              <w:marTop w:val="0"/>
              <w:marBottom w:val="0"/>
              <w:divBdr>
                <w:top w:val="none" w:sz="0" w:space="0" w:color="auto"/>
                <w:left w:val="none" w:sz="0" w:space="0" w:color="auto"/>
                <w:bottom w:val="none" w:sz="0" w:space="0" w:color="auto"/>
                <w:right w:val="none" w:sz="0" w:space="0" w:color="auto"/>
              </w:divBdr>
            </w:div>
            <w:div w:id="1862864348">
              <w:marLeft w:val="0"/>
              <w:marRight w:val="0"/>
              <w:marTop w:val="0"/>
              <w:marBottom w:val="0"/>
              <w:divBdr>
                <w:top w:val="none" w:sz="0" w:space="0" w:color="auto"/>
                <w:left w:val="none" w:sz="0" w:space="0" w:color="auto"/>
                <w:bottom w:val="none" w:sz="0" w:space="0" w:color="auto"/>
                <w:right w:val="none" w:sz="0" w:space="0" w:color="auto"/>
              </w:divBdr>
            </w:div>
            <w:div w:id="1404646292">
              <w:marLeft w:val="0"/>
              <w:marRight w:val="0"/>
              <w:marTop w:val="0"/>
              <w:marBottom w:val="0"/>
              <w:divBdr>
                <w:top w:val="none" w:sz="0" w:space="0" w:color="auto"/>
                <w:left w:val="none" w:sz="0" w:space="0" w:color="auto"/>
                <w:bottom w:val="none" w:sz="0" w:space="0" w:color="auto"/>
                <w:right w:val="none" w:sz="0" w:space="0" w:color="auto"/>
              </w:divBdr>
            </w:div>
            <w:div w:id="2017800477">
              <w:marLeft w:val="0"/>
              <w:marRight w:val="0"/>
              <w:marTop w:val="0"/>
              <w:marBottom w:val="0"/>
              <w:divBdr>
                <w:top w:val="none" w:sz="0" w:space="0" w:color="auto"/>
                <w:left w:val="none" w:sz="0" w:space="0" w:color="auto"/>
                <w:bottom w:val="none" w:sz="0" w:space="0" w:color="auto"/>
                <w:right w:val="none" w:sz="0" w:space="0" w:color="auto"/>
              </w:divBdr>
            </w:div>
            <w:div w:id="1606961693">
              <w:marLeft w:val="0"/>
              <w:marRight w:val="0"/>
              <w:marTop w:val="0"/>
              <w:marBottom w:val="0"/>
              <w:divBdr>
                <w:top w:val="none" w:sz="0" w:space="0" w:color="auto"/>
                <w:left w:val="none" w:sz="0" w:space="0" w:color="auto"/>
                <w:bottom w:val="none" w:sz="0" w:space="0" w:color="auto"/>
                <w:right w:val="none" w:sz="0" w:space="0" w:color="auto"/>
              </w:divBdr>
            </w:div>
            <w:div w:id="956185056">
              <w:marLeft w:val="0"/>
              <w:marRight w:val="0"/>
              <w:marTop w:val="0"/>
              <w:marBottom w:val="0"/>
              <w:divBdr>
                <w:top w:val="none" w:sz="0" w:space="0" w:color="auto"/>
                <w:left w:val="none" w:sz="0" w:space="0" w:color="auto"/>
                <w:bottom w:val="none" w:sz="0" w:space="0" w:color="auto"/>
                <w:right w:val="none" w:sz="0" w:space="0" w:color="auto"/>
              </w:divBdr>
            </w:div>
            <w:div w:id="2076774016">
              <w:marLeft w:val="0"/>
              <w:marRight w:val="0"/>
              <w:marTop w:val="0"/>
              <w:marBottom w:val="0"/>
              <w:divBdr>
                <w:top w:val="none" w:sz="0" w:space="0" w:color="auto"/>
                <w:left w:val="none" w:sz="0" w:space="0" w:color="auto"/>
                <w:bottom w:val="none" w:sz="0" w:space="0" w:color="auto"/>
                <w:right w:val="none" w:sz="0" w:space="0" w:color="auto"/>
              </w:divBdr>
            </w:div>
            <w:div w:id="90050503">
              <w:marLeft w:val="0"/>
              <w:marRight w:val="0"/>
              <w:marTop w:val="0"/>
              <w:marBottom w:val="0"/>
              <w:divBdr>
                <w:top w:val="none" w:sz="0" w:space="0" w:color="auto"/>
                <w:left w:val="none" w:sz="0" w:space="0" w:color="auto"/>
                <w:bottom w:val="none" w:sz="0" w:space="0" w:color="auto"/>
                <w:right w:val="none" w:sz="0" w:space="0" w:color="auto"/>
              </w:divBdr>
            </w:div>
            <w:div w:id="731974255">
              <w:marLeft w:val="0"/>
              <w:marRight w:val="0"/>
              <w:marTop w:val="0"/>
              <w:marBottom w:val="0"/>
              <w:divBdr>
                <w:top w:val="none" w:sz="0" w:space="0" w:color="auto"/>
                <w:left w:val="none" w:sz="0" w:space="0" w:color="auto"/>
                <w:bottom w:val="none" w:sz="0" w:space="0" w:color="auto"/>
                <w:right w:val="none" w:sz="0" w:space="0" w:color="auto"/>
              </w:divBdr>
            </w:div>
            <w:div w:id="436103228">
              <w:marLeft w:val="0"/>
              <w:marRight w:val="0"/>
              <w:marTop w:val="0"/>
              <w:marBottom w:val="0"/>
              <w:divBdr>
                <w:top w:val="none" w:sz="0" w:space="0" w:color="auto"/>
                <w:left w:val="none" w:sz="0" w:space="0" w:color="auto"/>
                <w:bottom w:val="none" w:sz="0" w:space="0" w:color="auto"/>
                <w:right w:val="none" w:sz="0" w:space="0" w:color="auto"/>
              </w:divBdr>
            </w:div>
            <w:div w:id="1825775669">
              <w:marLeft w:val="0"/>
              <w:marRight w:val="0"/>
              <w:marTop w:val="0"/>
              <w:marBottom w:val="0"/>
              <w:divBdr>
                <w:top w:val="none" w:sz="0" w:space="0" w:color="auto"/>
                <w:left w:val="none" w:sz="0" w:space="0" w:color="auto"/>
                <w:bottom w:val="none" w:sz="0" w:space="0" w:color="auto"/>
                <w:right w:val="none" w:sz="0" w:space="0" w:color="auto"/>
              </w:divBdr>
            </w:div>
            <w:div w:id="2025593758">
              <w:marLeft w:val="0"/>
              <w:marRight w:val="0"/>
              <w:marTop w:val="0"/>
              <w:marBottom w:val="0"/>
              <w:divBdr>
                <w:top w:val="none" w:sz="0" w:space="0" w:color="auto"/>
                <w:left w:val="none" w:sz="0" w:space="0" w:color="auto"/>
                <w:bottom w:val="none" w:sz="0" w:space="0" w:color="auto"/>
                <w:right w:val="none" w:sz="0" w:space="0" w:color="auto"/>
              </w:divBdr>
            </w:div>
            <w:div w:id="203297540">
              <w:marLeft w:val="0"/>
              <w:marRight w:val="0"/>
              <w:marTop w:val="0"/>
              <w:marBottom w:val="0"/>
              <w:divBdr>
                <w:top w:val="none" w:sz="0" w:space="0" w:color="auto"/>
                <w:left w:val="none" w:sz="0" w:space="0" w:color="auto"/>
                <w:bottom w:val="none" w:sz="0" w:space="0" w:color="auto"/>
                <w:right w:val="none" w:sz="0" w:space="0" w:color="auto"/>
              </w:divBdr>
            </w:div>
            <w:div w:id="1731803632">
              <w:marLeft w:val="0"/>
              <w:marRight w:val="0"/>
              <w:marTop w:val="0"/>
              <w:marBottom w:val="0"/>
              <w:divBdr>
                <w:top w:val="none" w:sz="0" w:space="0" w:color="auto"/>
                <w:left w:val="none" w:sz="0" w:space="0" w:color="auto"/>
                <w:bottom w:val="none" w:sz="0" w:space="0" w:color="auto"/>
                <w:right w:val="none" w:sz="0" w:space="0" w:color="auto"/>
              </w:divBdr>
            </w:div>
            <w:div w:id="699164017">
              <w:marLeft w:val="0"/>
              <w:marRight w:val="0"/>
              <w:marTop w:val="0"/>
              <w:marBottom w:val="0"/>
              <w:divBdr>
                <w:top w:val="none" w:sz="0" w:space="0" w:color="auto"/>
                <w:left w:val="none" w:sz="0" w:space="0" w:color="auto"/>
                <w:bottom w:val="none" w:sz="0" w:space="0" w:color="auto"/>
                <w:right w:val="none" w:sz="0" w:space="0" w:color="auto"/>
              </w:divBdr>
            </w:div>
            <w:div w:id="719552120">
              <w:marLeft w:val="0"/>
              <w:marRight w:val="0"/>
              <w:marTop w:val="0"/>
              <w:marBottom w:val="0"/>
              <w:divBdr>
                <w:top w:val="none" w:sz="0" w:space="0" w:color="auto"/>
                <w:left w:val="none" w:sz="0" w:space="0" w:color="auto"/>
                <w:bottom w:val="none" w:sz="0" w:space="0" w:color="auto"/>
                <w:right w:val="none" w:sz="0" w:space="0" w:color="auto"/>
              </w:divBdr>
            </w:div>
            <w:div w:id="1483503181">
              <w:marLeft w:val="0"/>
              <w:marRight w:val="0"/>
              <w:marTop w:val="0"/>
              <w:marBottom w:val="0"/>
              <w:divBdr>
                <w:top w:val="none" w:sz="0" w:space="0" w:color="auto"/>
                <w:left w:val="none" w:sz="0" w:space="0" w:color="auto"/>
                <w:bottom w:val="none" w:sz="0" w:space="0" w:color="auto"/>
                <w:right w:val="none" w:sz="0" w:space="0" w:color="auto"/>
              </w:divBdr>
            </w:div>
          </w:divsChild>
        </w:div>
        <w:div w:id="1002466514">
          <w:marLeft w:val="300"/>
          <w:marRight w:val="300"/>
          <w:marTop w:val="300"/>
          <w:marBottom w:val="300"/>
          <w:divBdr>
            <w:top w:val="none" w:sz="0" w:space="0" w:color="auto"/>
            <w:left w:val="none" w:sz="0" w:space="0" w:color="auto"/>
            <w:bottom w:val="none" w:sz="0" w:space="0" w:color="auto"/>
            <w:right w:val="none" w:sz="0" w:space="0" w:color="auto"/>
          </w:divBdr>
          <w:divsChild>
            <w:div w:id="539169741">
              <w:marLeft w:val="0"/>
              <w:marRight w:val="0"/>
              <w:marTop w:val="0"/>
              <w:marBottom w:val="150"/>
              <w:divBdr>
                <w:top w:val="none" w:sz="0" w:space="0" w:color="auto"/>
                <w:left w:val="none" w:sz="0" w:space="0" w:color="auto"/>
                <w:bottom w:val="single" w:sz="6" w:space="0" w:color="333333"/>
                <w:right w:val="none" w:sz="0" w:space="0" w:color="auto"/>
              </w:divBdr>
            </w:div>
            <w:div w:id="1394356796">
              <w:marLeft w:val="0"/>
              <w:marRight w:val="0"/>
              <w:marTop w:val="0"/>
              <w:marBottom w:val="0"/>
              <w:divBdr>
                <w:top w:val="none" w:sz="0" w:space="0" w:color="auto"/>
                <w:left w:val="none" w:sz="0" w:space="0" w:color="auto"/>
                <w:bottom w:val="none" w:sz="0" w:space="0" w:color="auto"/>
                <w:right w:val="none" w:sz="0" w:space="0" w:color="auto"/>
              </w:divBdr>
            </w:div>
          </w:divsChild>
        </w:div>
        <w:div w:id="1295022546">
          <w:marLeft w:val="300"/>
          <w:marRight w:val="300"/>
          <w:marTop w:val="300"/>
          <w:marBottom w:val="300"/>
          <w:divBdr>
            <w:top w:val="none" w:sz="0" w:space="0" w:color="auto"/>
            <w:left w:val="none" w:sz="0" w:space="0" w:color="auto"/>
            <w:bottom w:val="none" w:sz="0" w:space="0" w:color="auto"/>
            <w:right w:val="none" w:sz="0" w:space="0" w:color="auto"/>
          </w:divBdr>
          <w:divsChild>
            <w:div w:id="1373380563">
              <w:marLeft w:val="0"/>
              <w:marRight w:val="0"/>
              <w:marTop w:val="0"/>
              <w:marBottom w:val="150"/>
              <w:divBdr>
                <w:top w:val="none" w:sz="0" w:space="0" w:color="auto"/>
                <w:left w:val="none" w:sz="0" w:space="0" w:color="auto"/>
                <w:bottom w:val="single" w:sz="6" w:space="0" w:color="333333"/>
                <w:right w:val="none" w:sz="0" w:space="0" w:color="auto"/>
              </w:divBdr>
            </w:div>
            <w:div w:id="425345474">
              <w:marLeft w:val="0"/>
              <w:marRight w:val="0"/>
              <w:marTop w:val="0"/>
              <w:marBottom w:val="0"/>
              <w:divBdr>
                <w:top w:val="none" w:sz="0" w:space="0" w:color="auto"/>
                <w:left w:val="none" w:sz="0" w:space="0" w:color="auto"/>
                <w:bottom w:val="none" w:sz="0" w:space="0" w:color="auto"/>
                <w:right w:val="none" w:sz="0" w:space="0" w:color="auto"/>
              </w:divBdr>
            </w:div>
          </w:divsChild>
        </w:div>
        <w:div w:id="1467744869">
          <w:marLeft w:val="0"/>
          <w:marRight w:val="0"/>
          <w:marTop w:val="0"/>
          <w:marBottom w:val="150"/>
          <w:divBdr>
            <w:top w:val="none" w:sz="0" w:space="0" w:color="auto"/>
            <w:left w:val="none" w:sz="0" w:space="0" w:color="auto"/>
            <w:bottom w:val="none" w:sz="0" w:space="0" w:color="auto"/>
            <w:right w:val="none" w:sz="0" w:space="0" w:color="auto"/>
          </w:divBdr>
          <w:divsChild>
            <w:div w:id="449202006">
              <w:marLeft w:val="0"/>
              <w:marRight w:val="300"/>
              <w:marTop w:val="0"/>
              <w:marBottom w:val="0"/>
              <w:divBdr>
                <w:top w:val="none" w:sz="0" w:space="0" w:color="auto"/>
                <w:left w:val="none" w:sz="0" w:space="0" w:color="auto"/>
                <w:bottom w:val="none" w:sz="0" w:space="0" w:color="auto"/>
                <w:right w:val="none" w:sz="0" w:space="0" w:color="auto"/>
              </w:divBdr>
            </w:div>
          </w:divsChild>
        </w:div>
        <w:div w:id="1392852510">
          <w:marLeft w:val="0"/>
          <w:marRight w:val="0"/>
          <w:marTop w:val="0"/>
          <w:marBottom w:val="150"/>
          <w:divBdr>
            <w:top w:val="none" w:sz="0" w:space="0" w:color="auto"/>
            <w:left w:val="none" w:sz="0" w:space="0" w:color="auto"/>
            <w:bottom w:val="none" w:sz="0" w:space="0" w:color="auto"/>
            <w:right w:val="none" w:sz="0" w:space="0" w:color="auto"/>
          </w:divBdr>
          <w:divsChild>
            <w:div w:id="1821651431">
              <w:marLeft w:val="0"/>
              <w:marRight w:val="0"/>
              <w:marTop w:val="0"/>
              <w:marBottom w:val="0"/>
              <w:divBdr>
                <w:top w:val="none" w:sz="0" w:space="0" w:color="auto"/>
                <w:left w:val="none" w:sz="0" w:space="0" w:color="auto"/>
                <w:bottom w:val="none" w:sz="0" w:space="0" w:color="auto"/>
                <w:right w:val="none" w:sz="0" w:space="0" w:color="auto"/>
              </w:divBdr>
            </w:div>
            <w:div w:id="327947775">
              <w:marLeft w:val="0"/>
              <w:marRight w:val="0"/>
              <w:marTop w:val="0"/>
              <w:marBottom w:val="0"/>
              <w:divBdr>
                <w:top w:val="none" w:sz="0" w:space="0" w:color="auto"/>
                <w:left w:val="none" w:sz="0" w:space="0" w:color="auto"/>
                <w:bottom w:val="none" w:sz="0" w:space="0" w:color="auto"/>
                <w:right w:val="none" w:sz="0" w:space="0" w:color="auto"/>
              </w:divBdr>
            </w:div>
          </w:divsChild>
        </w:div>
        <w:div w:id="942300177">
          <w:marLeft w:val="0"/>
          <w:marRight w:val="0"/>
          <w:marTop w:val="0"/>
          <w:marBottom w:val="150"/>
          <w:divBdr>
            <w:top w:val="none" w:sz="0" w:space="0" w:color="auto"/>
            <w:left w:val="none" w:sz="0" w:space="0" w:color="auto"/>
            <w:bottom w:val="none" w:sz="0" w:space="0" w:color="auto"/>
            <w:right w:val="none" w:sz="0" w:space="0" w:color="auto"/>
          </w:divBdr>
          <w:divsChild>
            <w:div w:id="243994592">
              <w:marLeft w:val="0"/>
              <w:marRight w:val="0"/>
              <w:marTop w:val="0"/>
              <w:marBottom w:val="0"/>
              <w:divBdr>
                <w:top w:val="none" w:sz="0" w:space="0" w:color="auto"/>
                <w:left w:val="none" w:sz="0" w:space="0" w:color="auto"/>
                <w:bottom w:val="none" w:sz="0" w:space="0" w:color="auto"/>
                <w:right w:val="none" w:sz="0" w:space="0" w:color="auto"/>
              </w:divBdr>
            </w:div>
            <w:div w:id="4843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5051">
      <w:bodyDiv w:val="1"/>
      <w:marLeft w:val="0"/>
      <w:marRight w:val="0"/>
      <w:marTop w:val="0"/>
      <w:marBottom w:val="0"/>
      <w:divBdr>
        <w:top w:val="none" w:sz="0" w:space="0" w:color="auto"/>
        <w:left w:val="none" w:sz="0" w:space="0" w:color="auto"/>
        <w:bottom w:val="none" w:sz="0" w:space="0" w:color="auto"/>
        <w:right w:val="none" w:sz="0" w:space="0" w:color="auto"/>
      </w:divBdr>
      <w:divsChild>
        <w:div w:id="392045019">
          <w:marLeft w:val="0"/>
          <w:marRight w:val="0"/>
          <w:marTop w:val="0"/>
          <w:marBottom w:val="0"/>
          <w:divBdr>
            <w:top w:val="none" w:sz="0" w:space="0" w:color="auto"/>
            <w:left w:val="none" w:sz="0" w:space="0" w:color="auto"/>
            <w:bottom w:val="none" w:sz="0" w:space="0" w:color="auto"/>
            <w:right w:val="none" w:sz="0" w:space="0" w:color="auto"/>
          </w:divBdr>
          <w:divsChild>
            <w:div w:id="528110939">
              <w:marLeft w:val="0"/>
              <w:marRight w:val="0"/>
              <w:marTop w:val="0"/>
              <w:marBottom w:val="0"/>
              <w:divBdr>
                <w:top w:val="none" w:sz="0" w:space="0" w:color="auto"/>
                <w:left w:val="none" w:sz="0" w:space="0" w:color="auto"/>
                <w:bottom w:val="none" w:sz="0" w:space="0" w:color="auto"/>
                <w:right w:val="none" w:sz="0" w:space="0" w:color="auto"/>
              </w:divBdr>
              <w:divsChild>
                <w:div w:id="1872572720">
                  <w:marLeft w:val="5235"/>
                  <w:marRight w:val="0"/>
                  <w:marTop w:val="0"/>
                  <w:marBottom w:val="0"/>
                  <w:divBdr>
                    <w:top w:val="none" w:sz="0" w:space="0" w:color="auto"/>
                    <w:left w:val="none" w:sz="0" w:space="0" w:color="auto"/>
                    <w:bottom w:val="none" w:sz="0" w:space="0" w:color="auto"/>
                    <w:right w:val="none" w:sz="0" w:space="0" w:color="auto"/>
                  </w:divBdr>
                  <w:divsChild>
                    <w:div w:id="1635451223">
                      <w:marLeft w:val="0"/>
                      <w:marRight w:val="0"/>
                      <w:marTop w:val="0"/>
                      <w:marBottom w:val="0"/>
                      <w:divBdr>
                        <w:top w:val="none" w:sz="0" w:space="0" w:color="auto"/>
                        <w:left w:val="none" w:sz="0" w:space="0" w:color="auto"/>
                        <w:bottom w:val="none" w:sz="0" w:space="0" w:color="auto"/>
                        <w:right w:val="none" w:sz="0" w:space="0" w:color="auto"/>
                      </w:divBdr>
                      <w:divsChild>
                        <w:div w:id="1723552700">
                          <w:marLeft w:val="0"/>
                          <w:marRight w:val="0"/>
                          <w:marTop w:val="0"/>
                          <w:marBottom w:val="0"/>
                          <w:divBdr>
                            <w:top w:val="none" w:sz="0" w:space="0" w:color="auto"/>
                            <w:left w:val="none" w:sz="0" w:space="0" w:color="auto"/>
                            <w:bottom w:val="none" w:sz="0" w:space="0" w:color="auto"/>
                            <w:right w:val="none" w:sz="0" w:space="0" w:color="auto"/>
                          </w:divBdr>
                          <w:divsChild>
                            <w:div w:id="572013385">
                              <w:marLeft w:val="0"/>
                              <w:marRight w:val="0"/>
                              <w:marTop w:val="0"/>
                              <w:marBottom w:val="0"/>
                              <w:divBdr>
                                <w:top w:val="none" w:sz="0" w:space="0" w:color="auto"/>
                                <w:left w:val="none" w:sz="0" w:space="0" w:color="auto"/>
                                <w:bottom w:val="none" w:sz="0" w:space="0" w:color="auto"/>
                                <w:right w:val="none" w:sz="0" w:space="0" w:color="auto"/>
                              </w:divBdr>
                              <w:divsChild>
                                <w:div w:id="1673945269">
                                  <w:marLeft w:val="0"/>
                                  <w:marRight w:val="300"/>
                                  <w:marTop w:val="0"/>
                                  <w:marBottom w:val="0"/>
                                  <w:divBdr>
                                    <w:top w:val="single" w:sz="6" w:space="0" w:color="F5F5F5"/>
                                    <w:left w:val="none" w:sz="0" w:space="0" w:color="auto"/>
                                    <w:bottom w:val="none" w:sz="0" w:space="0" w:color="auto"/>
                                    <w:right w:val="none" w:sz="0" w:space="0" w:color="auto"/>
                                  </w:divBdr>
                                  <w:divsChild>
                                    <w:div w:id="927956466">
                                      <w:marLeft w:val="0"/>
                                      <w:marRight w:val="0"/>
                                      <w:marTop w:val="0"/>
                                      <w:marBottom w:val="0"/>
                                      <w:divBdr>
                                        <w:top w:val="none" w:sz="0" w:space="0" w:color="auto"/>
                                        <w:left w:val="none" w:sz="0" w:space="0" w:color="auto"/>
                                        <w:bottom w:val="none" w:sz="0" w:space="0" w:color="auto"/>
                                        <w:right w:val="none" w:sz="0" w:space="0" w:color="auto"/>
                                      </w:divBdr>
                                      <w:divsChild>
                                        <w:div w:id="1002008369">
                                          <w:marLeft w:val="0"/>
                                          <w:marRight w:val="0"/>
                                          <w:marTop w:val="0"/>
                                          <w:marBottom w:val="0"/>
                                          <w:divBdr>
                                            <w:top w:val="none" w:sz="0" w:space="0" w:color="auto"/>
                                            <w:left w:val="none" w:sz="0" w:space="0" w:color="auto"/>
                                            <w:bottom w:val="none" w:sz="0" w:space="0" w:color="auto"/>
                                            <w:right w:val="none" w:sz="0" w:space="0" w:color="auto"/>
                                          </w:divBdr>
                                          <w:divsChild>
                                            <w:div w:id="1087311820">
                                              <w:marLeft w:val="0"/>
                                              <w:marRight w:val="0"/>
                                              <w:marTop w:val="0"/>
                                              <w:marBottom w:val="0"/>
                                              <w:divBdr>
                                                <w:top w:val="none" w:sz="0" w:space="0" w:color="auto"/>
                                                <w:left w:val="none" w:sz="0" w:space="0" w:color="auto"/>
                                                <w:bottom w:val="none" w:sz="0" w:space="0" w:color="auto"/>
                                                <w:right w:val="none" w:sz="0" w:space="0" w:color="auto"/>
                                              </w:divBdr>
                                              <w:divsChild>
                                                <w:div w:id="760417042">
                                                  <w:marLeft w:val="0"/>
                                                  <w:marRight w:val="0"/>
                                                  <w:marTop w:val="0"/>
                                                  <w:marBottom w:val="0"/>
                                                  <w:divBdr>
                                                    <w:top w:val="none" w:sz="0" w:space="0" w:color="auto"/>
                                                    <w:left w:val="none" w:sz="0" w:space="0" w:color="auto"/>
                                                    <w:bottom w:val="none" w:sz="0" w:space="0" w:color="auto"/>
                                                    <w:right w:val="none" w:sz="0" w:space="0" w:color="auto"/>
                                                  </w:divBdr>
                                                </w:div>
                                              </w:divsChild>
                                            </w:div>
                                            <w:div w:id="1326472651">
                                              <w:marLeft w:val="300"/>
                                              <w:marRight w:val="300"/>
                                              <w:marTop w:val="300"/>
                                              <w:marBottom w:val="300"/>
                                              <w:divBdr>
                                                <w:top w:val="none" w:sz="0" w:space="0" w:color="auto"/>
                                                <w:left w:val="none" w:sz="0" w:space="0" w:color="auto"/>
                                                <w:bottom w:val="none" w:sz="0" w:space="0" w:color="auto"/>
                                                <w:right w:val="none" w:sz="0" w:space="0" w:color="auto"/>
                                              </w:divBdr>
                                              <w:divsChild>
                                                <w:div w:id="186019707">
                                                  <w:marLeft w:val="0"/>
                                                  <w:marRight w:val="0"/>
                                                  <w:marTop w:val="0"/>
                                                  <w:marBottom w:val="150"/>
                                                  <w:divBdr>
                                                    <w:top w:val="none" w:sz="0" w:space="0" w:color="auto"/>
                                                    <w:left w:val="none" w:sz="0" w:space="0" w:color="auto"/>
                                                    <w:bottom w:val="single" w:sz="6" w:space="0" w:color="333333"/>
                                                    <w:right w:val="none" w:sz="0" w:space="0" w:color="auto"/>
                                                  </w:divBdr>
                                                </w:div>
                                                <w:div w:id="2116320466">
                                                  <w:marLeft w:val="0"/>
                                                  <w:marRight w:val="0"/>
                                                  <w:marTop w:val="0"/>
                                                  <w:marBottom w:val="0"/>
                                                  <w:divBdr>
                                                    <w:top w:val="none" w:sz="0" w:space="0" w:color="auto"/>
                                                    <w:left w:val="none" w:sz="0" w:space="0" w:color="auto"/>
                                                    <w:bottom w:val="none" w:sz="0" w:space="0" w:color="auto"/>
                                                    <w:right w:val="none" w:sz="0" w:space="0" w:color="auto"/>
                                                  </w:divBdr>
                                                </w:div>
                                                <w:div w:id="586619112">
                                                  <w:marLeft w:val="0"/>
                                                  <w:marRight w:val="0"/>
                                                  <w:marTop w:val="0"/>
                                                  <w:marBottom w:val="0"/>
                                                  <w:divBdr>
                                                    <w:top w:val="none" w:sz="0" w:space="0" w:color="auto"/>
                                                    <w:left w:val="none" w:sz="0" w:space="0" w:color="auto"/>
                                                    <w:bottom w:val="none" w:sz="0" w:space="0" w:color="auto"/>
                                                    <w:right w:val="none" w:sz="0" w:space="0" w:color="auto"/>
                                                  </w:divBdr>
                                                </w:div>
                                                <w:div w:id="2027634977">
                                                  <w:marLeft w:val="0"/>
                                                  <w:marRight w:val="0"/>
                                                  <w:marTop w:val="0"/>
                                                  <w:marBottom w:val="0"/>
                                                  <w:divBdr>
                                                    <w:top w:val="none" w:sz="0" w:space="0" w:color="auto"/>
                                                    <w:left w:val="none" w:sz="0" w:space="0" w:color="auto"/>
                                                    <w:bottom w:val="none" w:sz="0" w:space="0" w:color="auto"/>
                                                    <w:right w:val="none" w:sz="0" w:space="0" w:color="auto"/>
                                                  </w:divBdr>
                                                </w:div>
                                                <w:div w:id="260842264">
                                                  <w:marLeft w:val="0"/>
                                                  <w:marRight w:val="0"/>
                                                  <w:marTop w:val="0"/>
                                                  <w:marBottom w:val="0"/>
                                                  <w:divBdr>
                                                    <w:top w:val="none" w:sz="0" w:space="0" w:color="auto"/>
                                                    <w:left w:val="none" w:sz="0" w:space="0" w:color="auto"/>
                                                    <w:bottom w:val="none" w:sz="0" w:space="0" w:color="auto"/>
                                                    <w:right w:val="none" w:sz="0" w:space="0" w:color="auto"/>
                                                  </w:divBdr>
                                                </w:div>
                                                <w:div w:id="122356696">
                                                  <w:marLeft w:val="0"/>
                                                  <w:marRight w:val="0"/>
                                                  <w:marTop w:val="0"/>
                                                  <w:marBottom w:val="0"/>
                                                  <w:divBdr>
                                                    <w:top w:val="none" w:sz="0" w:space="0" w:color="auto"/>
                                                    <w:left w:val="none" w:sz="0" w:space="0" w:color="auto"/>
                                                    <w:bottom w:val="none" w:sz="0" w:space="0" w:color="auto"/>
                                                    <w:right w:val="none" w:sz="0" w:space="0" w:color="auto"/>
                                                  </w:divBdr>
                                                </w:div>
                                                <w:div w:id="498083971">
                                                  <w:marLeft w:val="0"/>
                                                  <w:marRight w:val="0"/>
                                                  <w:marTop w:val="0"/>
                                                  <w:marBottom w:val="0"/>
                                                  <w:divBdr>
                                                    <w:top w:val="none" w:sz="0" w:space="0" w:color="auto"/>
                                                    <w:left w:val="none" w:sz="0" w:space="0" w:color="auto"/>
                                                    <w:bottom w:val="none" w:sz="0" w:space="0" w:color="auto"/>
                                                    <w:right w:val="none" w:sz="0" w:space="0" w:color="auto"/>
                                                  </w:divBdr>
                                                </w:div>
                                                <w:div w:id="192573323">
                                                  <w:marLeft w:val="0"/>
                                                  <w:marRight w:val="0"/>
                                                  <w:marTop w:val="0"/>
                                                  <w:marBottom w:val="0"/>
                                                  <w:divBdr>
                                                    <w:top w:val="none" w:sz="0" w:space="0" w:color="auto"/>
                                                    <w:left w:val="none" w:sz="0" w:space="0" w:color="auto"/>
                                                    <w:bottom w:val="none" w:sz="0" w:space="0" w:color="auto"/>
                                                    <w:right w:val="none" w:sz="0" w:space="0" w:color="auto"/>
                                                  </w:divBdr>
                                                </w:div>
                                                <w:div w:id="710810092">
                                                  <w:marLeft w:val="0"/>
                                                  <w:marRight w:val="0"/>
                                                  <w:marTop w:val="0"/>
                                                  <w:marBottom w:val="0"/>
                                                  <w:divBdr>
                                                    <w:top w:val="none" w:sz="0" w:space="0" w:color="auto"/>
                                                    <w:left w:val="none" w:sz="0" w:space="0" w:color="auto"/>
                                                    <w:bottom w:val="none" w:sz="0" w:space="0" w:color="auto"/>
                                                    <w:right w:val="none" w:sz="0" w:space="0" w:color="auto"/>
                                                  </w:divBdr>
                                                </w:div>
                                                <w:div w:id="1519806761">
                                                  <w:marLeft w:val="0"/>
                                                  <w:marRight w:val="0"/>
                                                  <w:marTop w:val="0"/>
                                                  <w:marBottom w:val="0"/>
                                                  <w:divBdr>
                                                    <w:top w:val="none" w:sz="0" w:space="0" w:color="auto"/>
                                                    <w:left w:val="none" w:sz="0" w:space="0" w:color="auto"/>
                                                    <w:bottom w:val="none" w:sz="0" w:space="0" w:color="auto"/>
                                                    <w:right w:val="none" w:sz="0" w:space="0" w:color="auto"/>
                                                  </w:divBdr>
                                                </w:div>
                                                <w:div w:id="1386223083">
                                                  <w:marLeft w:val="0"/>
                                                  <w:marRight w:val="0"/>
                                                  <w:marTop w:val="0"/>
                                                  <w:marBottom w:val="0"/>
                                                  <w:divBdr>
                                                    <w:top w:val="none" w:sz="0" w:space="0" w:color="auto"/>
                                                    <w:left w:val="none" w:sz="0" w:space="0" w:color="auto"/>
                                                    <w:bottom w:val="none" w:sz="0" w:space="0" w:color="auto"/>
                                                    <w:right w:val="none" w:sz="0" w:space="0" w:color="auto"/>
                                                  </w:divBdr>
                                                </w:div>
                                                <w:div w:id="1173060670">
                                                  <w:marLeft w:val="0"/>
                                                  <w:marRight w:val="0"/>
                                                  <w:marTop w:val="0"/>
                                                  <w:marBottom w:val="0"/>
                                                  <w:divBdr>
                                                    <w:top w:val="none" w:sz="0" w:space="0" w:color="auto"/>
                                                    <w:left w:val="none" w:sz="0" w:space="0" w:color="auto"/>
                                                    <w:bottom w:val="none" w:sz="0" w:space="0" w:color="auto"/>
                                                    <w:right w:val="none" w:sz="0" w:space="0" w:color="auto"/>
                                                  </w:divBdr>
                                                </w:div>
                                                <w:div w:id="295599076">
                                                  <w:marLeft w:val="0"/>
                                                  <w:marRight w:val="0"/>
                                                  <w:marTop w:val="0"/>
                                                  <w:marBottom w:val="0"/>
                                                  <w:divBdr>
                                                    <w:top w:val="none" w:sz="0" w:space="0" w:color="auto"/>
                                                    <w:left w:val="none" w:sz="0" w:space="0" w:color="auto"/>
                                                    <w:bottom w:val="none" w:sz="0" w:space="0" w:color="auto"/>
                                                    <w:right w:val="none" w:sz="0" w:space="0" w:color="auto"/>
                                                  </w:divBdr>
                                                </w:div>
                                                <w:div w:id="1001930110">
                                                  <w:marLeft w:val="0"/>
                                                  <w:marRight w:val="0"/>
                                                  <w:marTop w:val="0"/>
                                                  <w:marBottom w:val="0"/>
                                                  <w:divBdr>
                                                    <w:top w:val="none" w:sz="0" w:space="0" w:color="auto"/>
                                                    <w:left w:val="none" w:sz="0" w:space="0" w:color="auto"/>
                                                    <w:bottom w:val="none" w:sz="0" w:space="0" w:color="auto"/>
                                                    <w:right w:val="none" w:sz="0" w:space="0" w:color="auto"/>
                                                  </w:divBdr>
                                                </w:div>
                                                <w:div w:id="1017468768">
                                                  <w:marLeft w:val="0"/>
                                                  <w:marRight w:val="0"/>
                                                  <w:marTop w:val="0"/>
                                                  <w:marBottom w:val="0"/>
                                                  <w:divBdr>
                                                    <w:top w:val="none" w:sz="0" w:space="0" w:color="auto"/>
                                                    <w:left w:val="none" w:sz="0" w:space="0" w:color="auto"/>
                                                    <w:bottom w:val="none" w:sz="0" w:space="0" w:color="auto"/>
                                                    <w:right w:val="none" w:sz="0" w:space="0" w:color="auto"/>
                                                  </w:divBdr>
                                                </w:div>
                                                <w:div w:id="672537544">
                                                  <w:marLeft w:val="0"/>
                                                  <w:marRight w:val="0"/>
                                                  <w:marTop w:val="0"/>
                                                  <w:marBottom w:val="0"/>
                                                  <w:divBdr>
                                                    <w:top w:val="none" w:sz="0" w:space="0" w:color="auto"/>
                                                    <w:left w:val="none" w:sz="0" w:space="0" w:color="auto"/>
                                                    <w:bottom w:val="none" w:sz="0" w:space="0" w:color="auto"/>
                                                    <w:right w:val="none" w:sz="0" w:space="0" w:color="auto"/>
                                                  </w:divBdr>
                                                </w:div>
                                                <w:div w:id="1196962730">
                                                  <w:marLeft w:val="0"/>
                                                  <w:marRight w:val="0"/>
                                                  <w:marTop w:val="0"/>
                                                  <w:marBottom w:val="0"/>
                                                  <w:divBdr>
                                                    <w:top w:val="none" w:sz="0" w:space="0" w:color="auto"/>
                                                    <w:left w:val="none" w:sz="0" w:space="0" w:color="auto"/>
                                                    <w:bottom w:val="none" w:sz="0" w:space="0" w:color="auto"/>
                                                    <w:right w:val="none" w:sz="0" w:space="0" w:color="auto"/>
                                                  </w:divBdr>
                                                </w:div>
                                                <w:div w:id="1774131723">
                                                  <w:marLeft w:val="0"/>
                                                  <w:marRight w:val="0"/>
                                                  <w:marTop w:val="0"/>
                                                  <w:marBottom w:val="0"/>
                                                  <w:divBdr>
                                                    <w:top w:val="none" w:sz="0" w:space="0" w:color="auto"/>
                                                    <w:left w:val="none" w:sz="0" w:space="0" w:color="auto"/>
                                                    <w:bottom w:val="none" w:sz="0" w:space="0" w:color="auto"/>
                                                    <w:right w:val="none" w:sz="0" w:space="0" w:color="auto"/>
                                                  </w:divBdr>
                                                </w:div>
                                                <w:div w:id="1209415984">
                                                  <w:marLeft w:val="0"/>
                                                  <w:marRight w:val="0"/>
                                                  <w:marTop w:val="0"/>
                                                  <w:marBottom w:val="0"/>
                                                  <w:divBdr>
                                                    <w:top w:val="none" w:sz="0" w:space="0" w:color="auto"/>
                                                    <w:left w:val="none" w:sz="0" w:space="0" w:color="auto"/>
                                                    <w:bottom w:val="none" w:sz="0" w:space="0" w:color="auto"/>
                                                    <w:right w:val="none" w:sz="0" w:space="0" w:color="auto"/>
                                                  </w:divBdr>
                                                </w:div>
                                                <w:div w:id="37167848">
                                                  <w:marLeft w:val="0"/>
                                                  <w:marRight w:val="0"/>
                                                  <w:marTop w:val="0"/>
                                                  <w:marBottom w:val="0"/>
                                                  <w:divBdr>
                                                    <w:top w:val="none" w:sz="0" w:space="0" w:color="auto"/>
                                                    <w:left w:val="none" w:sz="0" w:space="0" w:color="auto"/>
                                                    <w:bottom w:val="none" w:sz="0" w:space="0" w:color="auto"/>
                                                    <w:right w:val="none" w:sz="0" w:space="0" w:color="auto"/>
                                                  </w:divBdr>
                                                </w:div>
                                                <w:div w:id="1690643811">
                                                  <w:marLeft w:val="0"/>
                                                  <w:marRight w:val="0"/>
                                                  <w:marTop w:val="0"/>
                                                  <w:marBottom w:val="0"/>
                                                  <w:divBdr>
                                                    <w:top w:val="none" w:sz="0" w:space="0" w:color="auto"/>
                                                    <w:left w:val="none" w:sz="0" w:space="0" w:color="auto"/>
                                                    <w:bottom w:val="none" w:sz="0" w:space="0" w:color="auto"/>
                                                    <w:right w:val="none" w:sz="0" w:space="0" w:color="auto"/>
                                                  </w:divBdr>
                                                </w:div>
                                                <w:div w:id="1131245980">
                                                  <w:marLeft w:val="0"/>
                                                  <w:marRight w:val="0"/>
                                                  <w:marTop w:val="0"/>
                                                  <w:marBottom w:val="0"/>
                                                  <w:divBdr>
                                                    <w:top w:val="none" w:sz="0" w:space="0" w:color="auto"/>
                                                    <w:left w:val="none" w:sz="0" w:space="0" w:color="auto"/>
                                                    <w:bottom w:val="none" w:sz="0" w:space="0" w:color="auto"/>
                                                    <w:right w:val="none" w:sz="0" w:space="0" w:color="auto"/>
                                                  </w:divBdr>
                                                </w:div>
                                                <w:div w:id="1769151625">
                                                  <w:marLeft w:val="0"/>
                                                  <w:marRight w:val="0"/>
                                                  <w:marTop w:val="0"/>
                                                  <w:marBottom w:val="0"/>
                                                  <w:divBdr>
                                                    <w:top w:val="none" w:sz="0" w:space="0" w:color="auto"/>
                                                    <w:left w:val="none" w:sz="0" w:space="0" w:color="auto"/>
                                                    <w:bottom w:val="none" w:sz="0" w:space="0" w:color="auto"/>
                                                    <w:right w:val="none" w:sz="0" w:space="0" w:color="auto"/>
                                                  </w:divBdr>
                                                </w:div>
                                              </w:divsChild>
                                            </w:div>
                                            <w:div w:id="1970358598">
                                              <w:marLeft w:val="300"/>
                                              <w:marRight w:val="300"/>
                                              <w:marTop w:val="300"/>
                                              <w:marBottom w:val="300"/>
                                              <w:divBdr>
                                                <w:top w:val="none" w:sz="0" w:space="0" w:color="auto"/>
                                                <w:left w:val="none" w:sz="0" w:space="0" w:color="auto"/>
                                                <w:bottom w:val="none" w:sz="0" w:space="0" w:color="auto"/>
                                                <w:right w:val="none" w:sz="0" w:space="0" w:color="auto"/>
                                              </w:divBdr>
                                              <w:divsChild>
                                                <w:div w:id="1718167750">
                                                  <w:marLeft w:val="0"/>
                                                  <w:marRight w:val="0"/>
                                                  <w:marTop w:val="0"/>
                                                  <w:marBottom w:val="150"/>
                                                  <w:divBdr>
                                                    <w:top w:val="none" w:sz="0" w:space="0" w:color="auto"/>
                                                    <w:left w:val="none" w:sz="0" w:space="0" w:color="auto"/>
                                                    <w:bottom w:val="single" w:sz="6" w:space="0" w:color="333333"/>
                                                    <w:right w:val="none" w:sz="0" w:space="0" w:color="auto"/>
                                                  </w:divBdr>
                                                </w:div>
                                                <w:div w:id="490684297">
                                                  <w:marLeft w:val="0"/>
                                                  <w:marRight w:val="0"/>
                                                  <w:marTop w:val="0"/>
                                                  <w:marBottom w:val="0"/>
                                                  <w:divBdr>
                                                    <w:top w:val="none" w:sz="0" w:space="0" w:color="auto"/>
                                                    <w:left w:val="none" w:sz="0" w:space="0" w:color="auto"/>
                                                    <w:bottom w:val="none" w:sz="0" w:space="0" w:color="auto"/>
                                                    <w:right w:val="none" w:sz="0" w:space="0" w:color="auto"/>
                                                  </w:divBdr>
                                                </w:div>
                                              </w:divsChild>
                                            </w:div>
                                            <w:div w:id="670066456">
                                              <w:marLeft w:val="300"/>
                                              <w:marRight w:val="300"/>
                                              <w:marTop w:val="300"/>
                                              <w:marBottom w:val="300"/>
                                              <w:divBdr>
                                                <w:top w:val="none" w:sz="0" w:space="0" w:color="auto"/>
                                                <w:left w:val="none" w:sz="0" w:space="0" w:color="auto"/>
                                                <w:bottom w:val="none" w:sz="0" w:space="0" w:color="auto"/>
                                                <w:right w:val="none" w:sz="0" w:space="0" w:color="auto"/>
                                              </w:divBdr>
                                              <w:divsChild>
                                                <w:div w:id="358824384">
                                                  <w:marLeft w:val="0"/>
                                                  <w:marRight w:val="0"/>
                                                  <w:marTop w:val="0"/>
                                                  <w:marBottom w:val="150"/>
                                                  <w:divBdr>
                                                    <w:top w:val="none" w:sz="0" w:space="0" w:color="auto"/>
                                                    <w:left w:val="none" w:sz="0" w:space="0" w:color="auto"/>
                                                    <w:bottom w:val="single" w:sz="6" w:space="0" w:color="333333"/>
                                                    <w:right w:val="none" w:sz="0" w:space="0" w:color="auto"/>
                                                  </w:divBdr>
                                                </w:div>
                                                <w:div w:id="553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94138">
                                          <w:marLeft w:val="0"/>
                                          <w:marRight w:val="0"/>
                                          <w:marTop w:val="0"/>
                                          <w:marBottom w:val="0"/>
                                          <w:divBdr>
                                            <w:top w:val="none" w:sz="0" w:space="0" w:color="auto"/>
                                            <w:left w:val="none" w:sz="0" w:space="0" w:color="auto"/>
                                            <w:bottom w:val="none" w:sz="0" w:space="0" w:color="auto"/>
                                            <w:right w:val="none" w:sz="0" w:space="0" w:color="auto"/>
                                          </w:divBdr>
                                          <w:divsChild>
                                            <w:div w:id="697701141">
                                              <w:marLeft w:val="0"/>
                                              <w:marRight w:val="0"/>
                                              <w:marTop w:val="0"/>
                                              <w:marBottom w:val="150"/>
                                              <w:divBdr>
                                                <w:top w:val="none" w:sz="0" w:space="0" w:color="auto"/>
                                                <w:left w:val="none" w:sz="0" w:space="0" w:color="auto"/>
                                                <w:bottom w:val="none" w:sz="0" w:space="0" w:color="auto"/>
                                                <w:right w:val="none" w:sz="0" w:space="0" w:color="auto"/>
                                              </w:divBdr>
                                              <w:divsChild>
                                                <w:div w:id="1531602802">
                                                  <w:marLeft w:val="0"/>
                                                  <w:marRight w:val="300"/>
                                                  <w:marTop w:val="0"/>
                                                  <w:marBottom w:val="0"/>
                                                  <w:divBdr>
                                                    <w:top w:val="none" w:sz="0" w:space="0" w:color="auto"/>
                                                    <w:left w:val="none" w:sz="0" w:space="0" w:color="auto"/>
                                                    <w:bottom w:val="none" w:sz="0" w:space="0" w:color="auto"/>
                                                    <w:right w:val="none" w:sz="0" w:space="0" w:color="auto"/>
                                                  </w:divBdr>
                                                </w:div>
                                              </w:divsChild>
                                            </w:div>
                                            <w:div w:id="703529924">
                                              <w:marLeft w:val="0"/>
                                              <w:marRight w:val="0"/>
                                              <w:marTop w:val="0"/>
                                              <w:marBottom w:val="150"/>
                                              <w:divBdr>
                                                <w:top w:val="none" w:sz="0" w:space="0" w:color="auto"/>
                                                <w:left w:val="none" w:sz="0" w:space="0" w:color="auto"/>
                                                <w:bottom w:val="none" w:sz="0" w:space="0" w:color="auto"/>
                                                <w:right w:val="none" w:sz="0" w:space="0" w:color="auto"/>
                                              </w:divBdr>
                                              <w:divsChild>
                                                <w:div w:id="608245118">
                                                  <w:marLeft w:val="0"/>
                                                  <w:marRight w:val="0"/>
                                                  <w:marTop w:val="0"/>
                                                  <w:marBottom w:val="0"/>
                                                  <w:divBdr>
                                                    <w:top w:val="none" w:sz="0" w:space="0" w:color="auto"/>
                                                    <w:left w:val="none" w:sz="0" w:space="0" w:color="auto"/>
                                                    <w:bottom w:val="none" w:sz="0" w:space="0" w:color="auto"/>
                                                    <w:right w:val="none" w:sz="0" w:space="0" w:color="auto"/>
                                                  </w:divBdr>
                                                </w:div>
                                                <w:div w:id="563955935">
                                                  <w:marLeft w:val="0"/>
                                                  <w:marRight w:val="0"/>
                                                  <w:marTop w:val="0"/>
                                                  <w:marBottom w:val="0"/>
                                                  <w:divBdr>
                                                    <w:top w:val="none" w:sz="0" w:space="0" w:color="auto"/>
                                                    <w:left w:val="none" w:sz="0" w:space="0" w:color="auto"/>
                                                    <w:bottom w:val="none" w:sz="0" w:space="0" w:color="auto"/>
                                                    <w:right w:val="none" w:sz="0" w:space="0" w:color="auto"/>
                                                  </w:divBdr>
                                                </w:div>
                                              </w:divsChild>
                                            </w:div>
                                            <w:div w:id="1436753961">
                                              <w:marLeft w:val="0"/>
                                              <w:marRight w:val="0"/>
                                              <w:marTop w:val="0"/>
                                              <w:marBottom w:val="150"/>
                                              <w:divBdr>
                                                <w:top w:val="none" w:sz="0" w:space="0" w:color="auto"/>
                                                <w:left w:val="none" w:sz="0" w:space="0" w:color="auto"/>
                                                <w:bottom w:val="none" w:sz="0" w:space="0" w:color="auto"/>
                                                <w:right w:val="none" w:sz="0" w:space="0" w:color="auto"/>
                                              </w:divBdr>
                                              <w:divsChild>
                                                <w:div w:id="177012915">
                                                  <w:marLeft w:val="0"/>
                                                  <w:marRight w:val="0"/>
                                                  <w:marTop w:val="0"/>
                                                  <w:marBottom w:val="0"/>
                                                  <w:divBdr>
                                                    <w:top w:val="none" w:sz="0" w:space="0" w:color="auto"/>
                                                    <w:left w:val="none" w:sz="0" w:space="0" w:color="auto"/>
                                                    <w:bottom w:val="none" w:sz="0" w:space="0" w:color="auto"/>
                                                    <w:right w:val="none" w:sz="0" w:space="0" w:color="auto"/>
                                                  </w:divBdr>
                                                </w:div>
                                                <w:div w:id="16839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4761807">
          <w:marLeft w:val="0"/>
          <w:marRight w:val="0"/>
          <w:marTop w:val="0"/>
          <w:marBottom w:val="0"/>
          <w:divBdr>
            <w:top w:val="none" w:sz="0" w:space="0" w:color="auto"/>
            <w:left w:val="none" w:sz="0" w:space="0" w:color="auto"/>
            <w:bottom w:val="none" w:sz="0" w:space="0" w:color="auto"/>
            <w:right w:val="none" w:sz="0" w:space="0" w:color="auto"/>
          </w:divBdr>
          <w:divsChild>
            <w:div w:id="14894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61970">
      <w:bodyDiv w:val="1"/>
      <w:marLeft w:val="0"/>
      <w:marRight w:val="0"/>
      <w:marTop w:val="0"/>
      <w:marBottom w:val="0"/>
      <w:divBdr>
        <w:top w:val="none" w:sz="0" w:space="0" w:color="auto"/>
        <w:left w:val="none" w:sz="0" w:space="0" w:color="auto"/>
        <w:bottom w:val="none" w:sz="0" w:space="0" w:color="auto"/>
        <w:right w:val="none" w:sz="0" w:space="0" w:color="auto"/>
      </w:divBdr>
      <w:divsChild>
        <w:div w:id="1456099761">
          <w:marLeft w:val="0"/>
          <w:marRight w:val="0"/>
          <w:marTop w:val="0"/>
          <w:marBottom w:val="0"/>
          <w:divBdr>
            <w:top w:val="none" w:sz="0" w:space="0" w:color="auto"/>
            <w:left w:val="none" w:sz="0" w:space="0" w:color="auto"/>
            <w:bottom w:val="none" w:sz="0" w:space="0" w:color="auto"/>
            <w:right w:val="none" w:sz="0" w:space="0" w:color="auto"/>
          </w:divBdr>
        </w:div>
        <w:div w:id="1703364761">
          <w:marLeft w:val="0"/>
          <w:marRight w:val="0"/>
          <w:marTop w:val="0"/>
          <w:marBottom w:val="0"/>
          <w:divBdr>
            <w:top w:val="none" w:sz="0" w:space="0" w:color="auto"/>
            <w:left w:val="none" w:sz="0" w:space="0" w:color="auto"/>
            <w:bottom w:val="none" w:sz="0" w:space="0" w:color="auto"/>
            <w:right w:val="none" w:sz="0" w:space="0" w:color="auto"/>
          </w:divBdr>
          <w:divsChild>
            <w:div w:id="1573853605">
              <w:marLeft w:val="0"/>
              <w:marRight w:val="0"/>
              <w:marTop w:val="0"/>
              <w:marBottom w:val="0"/>
              <w:divBdr>
                <w:top w:val="none" w:sz="0" w:space="0" w:color="auto"/>
                <w:left w:val="none" w:sz="0" w:space="0" w:color="auto"/>
                <w:bottom w:val="none" w:sz="0" w:space="0" w:color="auto"/>
                <w:right w:val="none" w:sz="0" w:space="0" w:color="auto"/>
              </w:divBdr>
              <w:divsChild>
                <w:div w:id="205725277">
                  <w:marLeft w:val="0"/>
                  <w:marRight w:val="300"/>
                  <w:marTop w:val="0"/>
                  <w:marBottom w:val="0"/>
                  <w:divBdr>
                    <w:top w:val="single" w:sz="6" w:space="0" w:color="F5F5F5"/>
                    <w:left w:val="none" w:sz="0" w:space="0" w:color="auto"/>
                    <w:bottom w:val="none" w:sz="0" w:space="0" w:color="auto"/>
                    <w:right w:val="none" w:sz="0" w:space="0" w:color="auto"/>
                  </w:divBdr>
                  <w:divsChild>
                    <w:div w:id="1664167229">
                      <w:marLeft w:val="0"/>
                      <w:marRight w:val="0"/>
                      <w:marTop w:val="0"/>
                      <w:marBottom w:val="0"/>
                      <w:divBdr>
                        <w:top w:val="none" w:sz="0" w:space="0" w:color="auto"/>
                        <w:left w:val="none" w:sz="0" w:space="0" w:color="auto"/>
                        <w:bottom w:val="none" w:sz="0" w:space="0" w:color="auto"/>
                        <w:right w:val="none" w:sz="0" w:space="0" w:color="auto"/>
                      </w:divBdr>
                      <w:divsChild>
                        <w:div w:id="1267083513">
                          <w:marLeft w:val="0"/>
                          <w:marRight w:val="0"/>
                          <w:marTop w:val="0"/>
                          <w:marBottom w:val="0"/>
                          <w:divBdr>
                            <w:top w:val="none" w:sz="0" w:space="0" w:color="auto"/>
                            <w:left w:val="none" w:sz="0" w:space="0" w:color="auto"/>
                            <w:bottom w:val="none" w:sz="0" w:space="0" w:color="auto"/>
                            <w:right w:val="none" w:sz="0" w:space="0" w:color="auto"/>
                          </w:divBdr>
                          <w:divsChild>
                            <w:div w:id="1006177706">
                              <w:marLeft w:val="0"/>
                              <w:marRight w:val="0"/>
                              <w:marTop w:val="0"/>
                              <w:marBottom w:val="0"/>
                              <w:divBdr>
                                <w:top w:val="none" w:sz="0" w:space="0" w:color="auto"/>
                                <w:left w:val="none" w:sz="0" w:space="0" w:color="auto"/>
                                <w:bottom w:val="none" w:sz="0" w:space="0" w:color="auto"/>
                                <w:right w:val="none" w:sz="0" w:space="0" w:color="auto"/>
                              </w:divBdr>
                              <w:divsChild>
                                <w:div w:id="19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08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2025-06-07T00:58:00Z</dcterms:created>
  <dcterms:modified xsi:type="dcterms:W3CDTF">2025-06-07T02:52:00Z</dcterms:modified>
</cp:coreProperties>
</file>