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223" w:rsidRDefault="00B00223" w:rsidP="00B00223">
      <w:pPr>
        <w:spacing w:after="40"/>
        <w:jc w:val="right"/>
        <w:rPr>
          <w:rFonts w:ascii="Arial Narrow" w:hAnsi="Arial Narrow" w:cstheme="minorBidi"/>
          <w:b/>
          <w:color w:val="000000" w:themeColor="text1"/>
          <w:sz w:val="32"/>
          <w:szCs w:val="32"/>
        </w:rPr>
      </w:pPr>
      <w:r>
        <w:rPr>
          <w:rFonts w:ascii="Arial Narrow" w:hAnsi="Arial Narrow" w:cstheme="minorBidi"/>
          <w:b/>
          <w:color w:val="000000" w:themeColor="text1"/>
          <w:sz w:val="32"/>
          <w:szCs w:val="32"/>
        </w:rPr>
        <w:t>Annexure 1</w:t>
      </w:r>
    </w:p>
    <w:p w:rsidR="00DC3489" w:rsidRPr="00DC6EE7" w:rsidRDefault="00DC3489" w:rsidP="00DC3489">
      <w:pPr>
        <w:spacing w:after="40"/>
        <w:rPr>
          <w:rFonts w:ascii="Arial Narrow" w:hAnsi="Arial Narrow" w:cstheme="minorBidi"/>
          <w:b/>
          <w:color w:val="000000" w:themeColor="text1"/>
          <w:sz w:val="32"/>
          <w:szCs w:val="32"/>
        </w:rPr>
      </w:pPr>
      <w:r w:rsidRPr="00DC6EE7">
        <w:rPr>
          <w:rFonts w:ascii="Arial Narrow" w:hAnsi="Arial Narrow" w:cstheme="minorBidi"/>
          <w:b/>
          <w:color w:val="000000" w:themeColor="text1"/>
          <w:sz w:val="32"/>
          <w:szCs w:val="32"/>
        </w:rPr>
        <w:t xml:space="preserve">Draft Paper for Consideration by </w:t>
      </w:r>
      <w:hyperlink r:id="rId7" w:history="1">
        <w:r w:rsidRPr="00DC6EE7">
          <w:rPr>
            <w:rStyle w:val="Hyperlink"/>
            <w:rFonts w:ascii="Arial Narrow" w:hAnsi="Arial Narrow" w:cstheme="minorBidi"/>
            <w:b/>
            <w:sz w:val="32"/>
            <w:szCs w:val="32"/>
          </w:rPr>
          <w:t>Institute of Public Administration</w:t>
        </w:r>
        <w:r w:rsidR="00DC6EE7" w:rsidRPr="00DC6EE7">
          <w:rPr>
            <w:rStyle w:val="Hyperlink"/>
            <w:rFonts w:ascii="Arial Narrow" w:hAnsi="Arial Narrow" w:cstheme="minorBidi"/>
            <w:b/>
            <w:sz w:val="32"/>
            <w:szCs w:val="32"/>
          </w:rPr>
          <w:t>, Australia</w:t>
        </w:r>
      </w:hyperlink>
      <w:r w:rsidRPr="00DC6EE7">
        <w:rPr>
          <w:rFonts w:ascii="Arial Narrow" w:hAnsi="Arial Narrow" w:cstheme="minorBidi"/>
          <w:b/>
          <w:color w:val="000000" w:themeColor="text1"/>
          <w:sz w:val="32"/>
          <w:szCs w:val="32"/>
        </w:rPr>
        <w:tab/>
      </w:r>
    </w:p>
    <w:p w:rsidR="00BA47F7" w:rsidRPr="00DC3489" w:rsidRDefault="00DC3489" w:rsidP="00C83E6D">
      <w:pPr>
        <w:spacing w:after="40"/>
        <w:rPr>
          <w:rFonts w:cstheme="minorBidi"/>
          <w:b/>
          <w:i/>
          <w:color w:val="000000" w:themeColor="text1"/>
          <w:sz w:val="26"/>
          <w:szCs w:val="26"/>
        </w:rPr>
      </w:pPr>
      <w:r>
        <w:rPr>
          <w:rFonts w:cstheme="minorBidi"/>
          <w:b/>
          <w:color w:val="000000" w:themeColor="text1"/>
          <w:sz w:val="26"/>
          <w:szCs w:val="26"/>
        </w:rPr>
        <w:br/>
      </w:r>
      <w:r w:rsidR="00BA47F7" w:rsidRPr="00DC3489">
        <w:rPr>
          <w:rFonts w:cstheme="minorBidi"/>
          <w:b/>
          <w:color w:val="000000" w:themeColor="text1"/>
          <w:sz w:val="26"/>
          <w:szCs w:val="26"/>
        </w:rPr>
        <w:t>Australia</w:t>
      </w:r>
      <w:r w:rsidR="00C83E6D" w:rsidRPr="00DC3489">
        <w:rPr>
          <w:rFonts w:cstheme="minorBidi"/>
          <w:b/>
          <w:color w:val="000000" w:themeColor="text1"/>
          <w:sz w:val="26"/>
          <w:szCs w:val="26"/>
        </w:rPr>
        <w:t xml:space="preserve">’s recent crop of </w:t>
      </w:r>
      <w:r w:rsidR="00BA47F7" w:rsidRPr="00DC3489">
        <w:rPr>
          <w:rFonts w:cstheme="minorBidi"/>
          <w:b/>
          <w:color w:val="000000" w:themeColor="text1"/>
          <w:sz w:val="26"/>
          <w:szCs w:val="26"/>
        </w:rPr>
        <w:t xml:space="preserve">politicians and senior bureaucrats </w:t>
      </w:r>
      <w:r w:rsidR="00C83E6D" w:rsidRPr="00DC3489">
        <w:rPr>
          <w:rFonts w:cstheme="minorBidi"/>
          <w:b/>
          <w:color w:val="000000" w:themeColor="text1"/>
          <w:sz w:val="26"/>
          <w:szCs w:val="26"/>
        </w:rPr>
        <w:t>have been</w:t>
      </w:r>
      <w:r w:rsidR="00BA47F7" w:rsidRPr="00DC3489">
        <w:rPr>
          <w:rFonts w:cstheme="minorBidi"/>
          <w:b/>
          <w:color w:val="000000" w:themeColor="text1"/>
          <w:sz w:val="26"/>
          <w:szCs w:val="26"/>
        </w:rPr>
        <w:t xml:space="preserve"> </w:t>
      </w:r>
      <w:r w:rsidR="00C83E6D" w:rsidRPr="00DC3489">
        <w:rPr>
          <w:rFonts w:cstheme="minorBidi"/>
          <w:b/>
          <w:color w:val="000000" w:themeColor="text1"/>
          <w:sz w:val="26"/>
          <w:szCs w:val="26"/>
        </w:rPr>
        <w:br/>
      </w:r>
      <w:r w:rsidR="00BA47F7" w:rsidRPr="00DC3489">
        <w:rPr>
          <w:rFonts w:cstheme="minorBidi"/>
          <w:b/>
          <w:i/>
          <w:color w:val="000000" w:themeColor="text1"/>
          <w:sz w:val="26"/>
          <w:szCs w:val="26"/>
        </w:rPr>
        <w:t>slow learners</w:t>
      </w:r>
      <w:r w:rsidR="00BA47F7" w:rsidRPr="00DC3489">
        <w:rPr>
          <w:rFonts w:cstheme="minorBidi"/>
          <w:b/>
          <w:color w:val="000000" w:themeColor="text1"/>
          <w:sz w:val="26"/>
          <w:szCs w:val="26"/>
        </w:rPr>
        <w:t xml:space="preserve"> with </w:t>
      </w:r>
      <w:r w:rsidR="00BA47F7" w:rsidRPr="00DC3489">
        <w:rPr>
          <w:rFonts w:cstheme="minorBidi"/>
          <w:b/>
          <w:i/>
          <w:color w:val="000000" w:themeColor="text1"/>
          <w:sz w:val="26"/>
          <w:szCs w:val="26"/>
        </w:rPr>
        <w:t>short</w:t>
      </w:r>
      <w:r w:rsidR="00C83E6D" w:rsidRPr="00DC3489">
        <w:rPr>
          <w:rFonts w:cstheme="minorBidi"/>
          <w:b/>
          <w:i/>
          <w:color w:val="000000" w:themeColor="text1"/>
          <w:sz w:val="26"/>
          <w:szCs w:val="26"/>
        </w:rPr>
        <w:t> </w:t>
      </w:r>
      <w:r w:rsidR="00BA47F7" w:rsidRPr="00DC3489">
        <w:rPr>
          <w:rFonts w:cstheme="minorBidi"/>
          <w:b/>
          <w:i/>
          <w:color w:val="000000" w:themeColor="text1"/>
          <w:sz w:val="26"/>
          <w:szCs w:val="26"/>
        </w:rPr>
        <w:t>memories</w:t>
      </w:r>
    </w:p>
    <w:p w:rsidR="00C83E6D" w:rsidRPr="00DC3489" w:rsidRDefault="00C83E6D" w:rsidP="00C83E6D">
      <w:pPr>
        <w:spacing w:after="140" w:line="240" w:lineRule="auto"/>
        <w:rPr>
          <w:rFonts w:cstheme="minorBidi"/>
          <w:b/>
          <w:color w:val="000000" w:themeColor="text1"/>
          <w:sz w:val="26"/>
          <w:szCs w:val="26"/>
        </w:rPr>
      </w:pPr>
      <w:r w:rsidRPr="00DC3489">
        <w:rPr>
          <w:rFonts w:cstheme="minorBidi"/>
          <w:b/>
          <w:color w:val="000000" w:themeColor="text1"/>
          <w:sz w:val="26"/>
          <w:szCs w:val="26"/>
        </w:rPr>
        <w:t xml:space="preserve">A properly resourced Public Service, has in the past and can in the future, achieve </w:t>
      </w:r>
      <w:r w:rsidRPr="00DC3489">
        <w:rPr>
          <w:rFonts w:cstheme="minorBidi"/>
          <w:b/>
          <w:i/>
          <w:color w:val="000000" w:themeColor="text1"/>
          <w:sz w:val="26"/>
          <w:szCs w:val="26"/>
        </w:rPr>
        <w:t>economies of scale</w:t>
      </w:r>
      <w:r w:rsidRPr="00DC3489">
        <w:rPr>
          <w:rFonts w:cstheme="minorBidi"/>
          <w:b/>
          <w:color w:val="000000" w:themeColor="text1"/>
          <w:sz w:val="26"/>
          <w:szCs w:val="26"/>
        </w:rPr>
        <w:t xml:space="preserve">, not attainable by drawing from </w:t>
      </w:r>
      <w:r w:rsidRPr="00DC3489">
        <w:rPr>
          <w:rFonts w:cstheme="minorBidi"/>
          <w:b/>
          <w:i/>
          <w:color w:val="000000" w:themeColor="text1"/>
          <w:sz w:val="26"/>
          <w:szCs w:val="26"/>
        </w:rPr>
        <w:t>outside the tent</w:t>
      </w:r>
    </w:p>
    <w:p w:rsidR="00BA47F7" w:rsidRPr="00B23DC3" w:rsidRDefault="00BA47F7" w:rsidP="00BA47F7">
      <w:pPr>
        <w:spacing w:line="240" w:lineRule="auto"/>
        <w:rPr>
          <w:rFonts w:cs="Arial"/>
          <w:color w:val="000000" w:themeColor="text1"/>
        </w:rPr>
      </w:pPr>
      <w:r w:rsidRPr="00B23DC3">
        <w:rPr>
          <w:rFonts w:cs="Arial"/>
          <w:color w:val="000000" w:themeColor="text1"/>
        </w:rPr>
        <w:t xml:space="preserve">Arguably the most outstanding </w:t>
      </w:r>
      <w:r w:rsidR="00C83E6D">
        <w:rPr>
          <w:rFonts w:cs="Arial"/>
          <w:color w:val="000000" w:themeColor="text1"/>
        </w:rPr>
        <w:t>‘</w:t>
      </w:r>
      <w:r w:rsidR="00C83E6D" w:rsidRPr="00B23DC3">
        <w:rPr>
          <w:rFonts w:cs="Arial"/>
          <w:color w:val="000000" w:themeColor="text1"/>
        </w:rPr>
        <w:t>public servant</w:t>
      </w:r>
      <w:r w:rsidR="00C83E6D">
        <w:rPr>
          <w:rFonts w:cs="Arial"/>
          <w:color w:val="000000" w:themeColor="text1"/>
        </w:rPr>
        <w:t>’</w:t>
      </w:r>
      <w:r w:rsidR="00C83E6D" w:rsidRPr="00B23DC3">
        <w:rPr>
          <w:rFonts w:cs="Arial"/>
          <w:color w:val="000000" w:themeColor="text1"/>
        </w:rPr>
        <w:t xml:space="preserve"> </w:t>
      </w:r>
      <w:r w:rsidRPr="00B23DC3">
        <w:rPr>
          <w:rFonts w:cs="Arial"/>
          <w:color w:val="000000" w:themeColor="text1"/>
        </w:rPr>
        <w:t xml:space="preserve">since Federation was Gerard “Gerry” Gleeson who served as Secretary of the NSW Premier's Department for 12 years until June 1988, much of it under </w:t>
      </w:r>
      <w:r w:rsidR="008B70E9">
        <w:rPr>
          <w:rFonts w:cs="Arial"/>
          <w:color w:val="000000" w:themeColor="text1"/>
        </w:rPr>
        <w:t xml:space="preserve">then </w:t>
      </w:r>
      <w:r w:rsidR="00C83E6D">
        <w:rPr>
          <w:rFonts w:cs="Arial"/>
          <w:color w:val="000000" w:themeColor="text1"/>
        </w:rPr>
        <w:t xml:space="preserve">Premier, </w:t>
      </w:r>
      <w:r w:rsidRPr="00B23DC3">
        <w:rPr>
          <w:rFonts w:cs="Arial"/>
          <w:color w:val="000000" w:themeColor="text1"/>
        </w:rPr>
        <w:t>Neville Wran.</w:t>
      </w:r>
    </w:p>
    <w:p w:rsidR="00BA47F7" w:rsidRPr="00B23DC3" w:rsidRDefault="00BA47F7" w:rsidP="00BA47F7">
      <w:pPr>
        <w:spacing w:line="240" w:lineRule="auto"/>
        <w:rPr>
          <w:rFonts w:cs="Arial"/>
        </w:rPr>
      </w:pPr>
      <w:r w:rsidRPr="00B23DC3">
        <w:rPr>
          <w:rFonts w:cs="Arial"/>
        </w:rPr>
        <w:t xml:space="preserve">Gerry was an </w:t>
      </w:r>
      <w:r w:rsidR="008B70E9">
        <w:rPr>
          <w:rFonts w:cs="Arial"/>
        </w:rPr>
        <w:t>extraordinary</w:t>
      </w:r>
      <w:r w:rsidRPr="00B23DC3">
        <w:rPr>
          <w:rFonts w:cs="Arial"/>
        </w:rPr>
        <w:t xml:space="preserve"> public servant and spirited individual whose contribution made a patent difference </w:t>
      </w:r>
      <w:r w:rsidR="00C83E6D">
        <w:rPr>
          <w:rFonts w:cs="Arial"/>
        </w:rPr>
        <w:t>to</w:t>
      </w:r>
      <w:r w:rsidRPr="00B23DC3">
        <w:rPr>
          <w:rFonts w:cs="Arial"/>
        </w:rPr>
        <w:t xml:space="preserve"> </w:t>
      </w:r>
      <w:r w:rsidR="008B70E9" w:rsidRPr="00B23DC3">
        <w:rPr>
          <w:rFonts w:cs="Arial"/>
        </w:rPr>
        <w:t>numerous</w:t>
      </w:r>
      <w:r w:rsidRPr="00B23DC3">
        <w:rPr>
          <w:rFonts w:cs="Arial"/>
        </w:rPr>
        <w:t xml:space="preserve"> of the facilities and institutions that add to the quality of life for citizens of NSW and Australia. </w:t>
      </w:r>
      <w:r w:rsidR="008B70E9">
        <w:rPr>
          <w:rFonts w:cs="Arial"/>
        </w:rPr>
        <w:t xml:space="preserve"> Not only during that era, but many of his cost-effective initiatives remained </w:t>
      </w:r>
      <w:r w:rsidR="009F3AB4">
        <w:rPr>
          <w:rFonts w:cs="Arial"/>
        </w:rPr>
        <w:t xml:space="preserve">well </w:t>
      </w:r>
      <w:r w:rsidR="008B70E9">
        <w:rPr>
          <w:rFonts w:cs="Arial"/>
        </w:rPr>
        <w:t xml:space="preserve">beyond his tenure. </w:t>
      </w:r>
    </w:p>
    <w:p w:rsidR="00BA47F7" w:rsidRPr="00B23DC3" w:rsidRDefault="00264605" w:rsidP="00BA47F7">
      <w:pPr>
        <w:spacing w:line="240" w:lineRule="auto"/>
        <w:rPr>
          <w:rFonts w:cs="Arial"/>
        </w:rPr>
      </w:pPr>
      <w:hyperlink r:id="rId8" w:history="1">
        <w:r w:rsidR="00BA47F7" w:rsidRPr="00B23DC3">
          <w:rPr>
            <w:rStyle w:val="Hyperlink"/>
            <w:rFonts w:cs="Arial"/>
            <w:b/>
            <w:u w:val="none"/>
          </w:rPr>
          <w:t>Known as Premier Neville Wran’s ‘</w:t>
        </w:r>
        <w:r w:rsidR="00BA47F7" w:rsidRPr="00B23DC3">
          <w:rPr>
            <w:rStyle w:val="Hyperlink"/>
            <w:rFonts w:cs="Arial"/>
            <w:b/>
            <w:i/>
            <w:u w:val="none"/>
          </w:rPr>
          <w:t>Mr Fixit</w:t>
        </w:r>
      </w:hyperlink>
      <w:r w:rsidR="00BA47F7" w:rsidRPr="00B23DC3">
        <w:rPr>
          <w:rFonts w:cs="Arial"/>
          <w:i/>
        </w:rPr>
        <w:t>’</w:t>
      </w:r>
      <w:r w:rsidR="00BA47F7" w:rsidRPr="00B23DC3">
        <w:rPr>
          <w:rFonts w:cs="Arial"/>
        </w:rPr>
        <w:t xml:space="preserve">, Gerry headed up the Premier’s Department from 1976 through to 1988 where he led the NSW </w:t>
      </w:r>
      <w:r w:rsidR="00C83E6D">
        <w:rPr>
          <w:rFonts w:cs="Arial"/>
        </w:rPr>
        <w:t>G</w:t>
      </w:r>
      <w:r w:rsidR="00BA47F7" w:rsidRPr="00B23DC3">
        <w:rPr>
          <w:rFonts w:cs="Arial"/>
        </w:rPr>
        <w:t>overnment through huge projects like Darling Harbour and the Bicentenary.</w:t>
      </w:r>
    </w:p>
    <w:p w:rsidR="00BA47F7" w:rsidRPr="00B23DC3" w:rsidRDefault="00BA47F7" w:rsidP="00BA47F7">
      <w:pPr>
        <w:spacing w:before="148" w:line="240" w:lineRule="auto"/>
        <w:rPr>
          <w:rFonts w:cstheme="minorBidi"/>
          <w:color w:val="000000" w:themeColor="text1"/>
        </w:rPr>
      </w:pPr>
      <w:r w:rsidRPr="00B23DC3">
        <w:rPr>
          <w:rFonts w:cs="Arial"/>
        </w:rPr>
        <w:t xml:space="preserve">Perhaps </w:t>
      </w:r>
      <w:r w:rsidRPr="00B23DC3">
        <w:rPr>
          <w:rFonts w:cs="Arial"/>
          <w:color w:val="000000" w:themeColor="text1"/>
        </w:rPr>
        <w:t xml:space="preserve">Gerry Gleeson’s greatest legacy was his </w:t>
      </w:r>
      <w:r w:rsidRPr="00B23DC3">
        <w:rPr>
          <w:rFonts w:cstheme="minorBidi"/>
          <w:color w:val="000000" w:themeColor="text1"/>
        </w:rPr>
        <w:t xml:space="preserve">publication in the </w:t>
      </w:r>
      <w:r w:rsidR="009F3AB4">
        <w:rPr>
          <w:rFonts w:cstheme="minorBidi"/>
          <w:color w:val="000000" w:themeColor="text1"/>
        </w:rPr>
        <w:br/>
      </w:r>
      <w:r w:rsidRPr="00B23DC3">
        <w:rPr>
          <w:rFonts w:cstheme="minorBidi"/>
          <w:color w:val="000000" w:themeColor="text1"/>
        </w:rPr>
        <w:t>Australian Journal of Public Administration (March 1991</w:t>
      </w:r>
      <w:r w:rsidRPr="00B23DC3">
        <w:rPr>
          <w:rFonts w:cs="Arial"/>
          <w:spacing w:val="-2"/>
          <w:w w:val="90"/>
        </w:rPr>
        <w:t>)</w:t>
      </w:r>
      <w:r w:rsidRPr="00B23DC3">
        <w:rPr>
          <w:rFonts w:cs="Arial"/>
          <w:color w:val="000000" w:themeColor="text1"/>
        </w:rPr>
        <w:t xml:space="preserve"> ‘</w:t>
      </w:r>
      <w:r w:rsidRPr="00236EF9">
        <w:rPr>
          <w:b/>
          <w:w w:val="90"/>
          <w:sz w:val="22"/>
          <w:szCs w:val="22"/>
        </w:rPr>
        <w:t>DECADE</w:t>
      </w:r>
      <w:r w:rsidRPr="00236EF9">
        <w:rPr>
          <w:b/>
          <w:spacing w:val="-1"/>
          <w:w w:val="90"/>
          <w:sz w:val="22"/>
          <w:szCs w:val="22"/>
        </w:rPr>
        <w:t xml:space="preserve"> </w:t>
      </w:r>
      <w:r w:rsidRPr="00236EF9">
        <w:rPr>
          <w:b/>
          <w:w w:val="90"/>
          <w:sz w:val="22"/>
          <w:szCs w:val="22"/>
        </w:rPr>
        <w:t>FOR</w:t>
      </w:r>
      <w:r w:rsidRPr="00236EF9">
        <w:rPr>
          <w:b/>
          <w:spacing w:val="-3"/>
          <w:sz w:val="22"/>
          <w:szCs w:val="22"/>
        </w:rPr>
        <w:t xml:space="preserve"> </w:t>
      </w:r>
      <w:r w:rsidRPr="00236EF9">
        <w:rPr>
          <w:b/>
          <w:spacing w:val="-2"/>
          <w:w w:val="90"/>
          <w:sz w:val="22"/>
          <w:szCs w:val="22"/>
        </w:rPr>
        <w:t>DEBATE’</w:t>
      </w:r>
      <w:r w:rsidRPr="00B23DC3">
        <w:rPr>
          <w:b/>
          <w:spacing w:val="-2"/>
          <w:w w:val="90"/>
        </w:rPr>
        <w:t xml:space="preserve"> </w:t>
      </w:r>
      <w:r w:rsidR="00236EF9" w:rsidRPr="00236EF9">
        <w:rPr>
          <w:spacing w:val="-2"/>
          <w:w w:val="90"/>
        </w:rPr>
        <w:t>also</w:t>
      </w:r>
      <w:r w:rsidR="00236EF9">
        <w:rPr>
          <w:b/>
          <w:spacing w:val="-2"/>
          <w:w w:val="90"/>
        </w:rPr>
        <w:t xml:space="preserve"> </w:t>
      </w:r>
      <w:r w:rsidR="00236EF9" w:rsidRPr="00B23DC3">
        <w:rPr>
          <w:rFonts w:cstheme="minorBidi"/>
          <w:color w:val="000000" w:themeColor="text1"/>
        </w:rPr>
        <w:t>publis</w:t>
      </w:r>
      <w:r w:rsidR="00236EF9">
        <w:rPr>
          <w:rFonts w:cstheme="minorBidi"/>
          <w:color w:val="000000" w:themeColor="text1"/>
        </w:rPr>
        <w:t xml:space="preserve">hed in the </w:t>
      </w:r>
      <w:r w:rsidR="00236EF9" w:rsidRPr="00B23DC3">
        <w:rPr>
          <w:rFonts w:cstheme="minorBidi"/>
          <w:color w:val="000000" w:themeColor="text1"/>
        </w:rPr>
        <w:t>Australian Journal of Public Administration (March 19</w:t>
      </w:r>
      <w:r w:rsidR="00236EF9">
        <w:rPr>
          <w:rFonts w:cstheme="minorBidi"/>
          <w:color w:val="000000" w:themeColor="text1"/>
        </w:rPr>
        <w:t>8</w:t>
      </w:r>
      <w:r w:rsidR="00236EF9" w:rsidRPr="00B23DC3">
        <w:rPr>
          <w:rFonts w:cstheme="minorBidi"/>
          <w:color w:val="000000" w:themeColor="text1"/>
        </w:rPr>
        <w:t>9</w:t>
      </w:r>
      <w:r w:rsidR="00236EF9" w:rsidRPr="00B23DC3">
        <w:rPr>
          <w:rFonts w:cs="Arial"/>
          <w:spacing w:val="-2"/>
          <w:w w:val="90"/>
        </w:rPr>
        <w:t>)</w:t>
      </w:r>
      <w:r w:rsidR="00236EF9" w:rsidRPr="00B23DC3">
        <w:rPr>
          <w:rFonts w:cs="Arial"/>
          <w:color w:val="000000" w:themeColor="text1"/>
        </w:rPr>
        <w:t xml:space="preserve"> </w:t>
      </w:r>
      <w:r w:rsidRPr="00B23DC3">
        <w:rPr>
          <w:rFonts w:cstheme="minorBidi"/>
          <w:color w:val="000000" w:themeColor="text1"/>
        </w:rPr>
        <w:t>(1</w:t>
      </w:r>
      <w:r w:rsidRPr="009F3AB4">
        <w:rPr>
          <w:rFonts w:cstheme="minorBidi"/>
          <w:color w:val="000000" w:themeColor="text1"/>
          <w:vertAlign w:val="superscript"/>
        </w:rPr>
        <w:t>st</w:t>
      </w:r>
      <w:r w:rsidR="009F3AB4">
        <w:rPr>
          <w:rFonts w:cstheme="minorBidi"/>
          <w:color w:val="000000" w:themeColor="text1"/>
        </w:rPr>
        <w:t> </w:t>
      </w:r>
      <w:r w:rsidRPr="00B23DC3">
        <w:rPr>
          <w:rFonts w:cstheme="minorBidi"/>
          <w:color w:val="000000" w:themeColor="text1"/>
        </w:rPr>
        <w:t>Attachment)</w:t>
      </w:r>
      <w:r w:rsidR="00236EF9">
        <w:rPr>
          <w:rFonts w:cstheme="minorBidi"/>
          <w:color w:val="000000" w:themeColor="text1"/>
        </w:rPr>
        <w:t>.  This seminal publication</w:t>
      </w:r>
      <w:r w:rsidRPr="00B23DC3">
        <w:rPr>
          <w:rFonts w:cstheme="minorBidi"/>
          <w:color w:val="000000" w:themeColor="text1"/>
        </w:rPr>
        <w:t xml:space="preserve"> recognised the enormous </w:t>
      </w:r>
      <w:r w:rsidR="00C83E6D">
        <w:rPr>
          <w:rFonts w:cstheme="minorBidi"/>
          <w:color w:val="000000" w:themeColor="text1"/>
        </w:rPr>
        <w:t>contribution</w:t>
      </w:r>
      <w:r w:rsidRPr="00B23DC3">
        <w:rPr>
          <w:rFonts w:cstheme="minorBidi"/>
          <w:color w:val="000000" w:themeColor="text1"/>
        </w:rPr>
        <w:t xml:space="preserve"> of Australia’s Commonwealth</w:t>
      </w:r>
      <w:r w:rsidR="009F3AB4">
        <w:rPr>
          <w:rFonts w:cstheme="minorBidi"/>
          <w:color w:val="000000" w:themeColor="text1"/>
        </w:rPr>
        <w:t> </w:t>
      </w:r>
      <w:r w:rsidRPr="00B23DC3">
        <w:rPr>
          <w:rFonts w:cstheme="minorBidi"/>
          <w:color w:val="000000" w:themeColor="text1"/>
        </w:rPr>
        <w:t>and State</w:t>
      </w:r>
      <w:r w:rsidR="00236EF9">
        <w:rPr>
          <w:rFonts w:cstheme="minorBidi"/>
          <w:color w:val="000000" w:themeColor="text1"/>
        </w:rPr>
        <w:t> </w:t>
      </w:r>
      <w:r w:rsidRPr="00B23DC3">
        <w:rPr>
          <w:rFonts w:cstheme="minorBidi"/>
          <w:color w:val="000000" w:themeColor="text1"/>
        </w:rPr>
        <w:t>Public Service departments/agencies</w:t>
      </w:r>
      <w:r w:rsidR="00A026AB">
        <w:rPr>
          <w:rFonts w:cstheme="minorBidi"/>
          <w:color w:val="000000" w:themeColor="text1"/>
        </w:rPr>
        <w:t xml:space="preserve"> to the standard of living for many NSW residents, with flow-on</w:t>
      </w:r>
      <w:r w:rsidR="00236EF9">
        <w:rPr>
          <w:rFonts w:cstheme="minorBidi"/>
          <w:color w:val="000000" w:themeColor="text1"/>
        </w:rPr>
        <w:t xml:space="preserve"> benefit</w:t>
      </w:r>
      <w:r w:rsidR="00A026AB">
        <w:rPr>
          <w:rFonts w:cstheme="minorBidi"/>
          <w:color w:val="000000" w:themeColor="text1"/>
        </w:rPr>
        <w:t>s to other states</w:t>
      </w:r>
      <w:r w:rsidRPr="00B23DC3">
        <w:rPr>
          <w:rFonts w:cstheme="minorBidi"/>
          <w:color w:val="000000" w:themeColor="text1"/>
        </w:rPr>
        <w:t>.</w:t>
      </w:r>
    </w:p>
    <w:p w:rsidR="00BA47F7" w:rsidRDefault="00BA47F7" w:rsidP="00BA47F7">
      <w:pPr>
        <w:spacing w:before="148" w:after="0" w:line="240" w:lineRule="auto"/>
        <w:rPr>
          <w:rFonts w:cs="Arial"/>
          <w:color w:val="000000" w:themeColor="text1"/>
          <w:sz w:val="22"/>
          <w:szCs w:val="22"/>
        </w:rPr>
      </w:pPr>
      <w:r w:rsidRPr="00B23DC3">
        <w:rPr>
          <w:rFonts w:cstheme="minorBidi"/>
          <w:color w:val="000000" w:themeColor="text1"/>
        </w:rPr>
        <w:t xml:space="preserve">Below are two pertinent extracts from Bob Hawke’s publication </w:t>
      </w:r>
      <w:r w:rsidR="000357FA">
        <w:rPr>
          <w:rFonts w:cstheme="minorBidi"/>
          <w:color w:val="000000" w:themeColor="text1"/>
        </w:rPr>
        <w:br/>
      </w:r>
      <w:r w:rsidRPr="00236EF9">
        <w:rPr>
          <w:b/>
          <w:spacing w:val="-10"/>
          <w:sz w:val="22"/>
          <w:szCs w:val="22"/>
        </w:rPr>
        <w:t>CHALLENGES</w:t>
      </w:r>
      <w:r w:rsidRPr="00236EF9">
        <w:rPr>
          <w:b/>
          <w:spacing w:val="6"/>
          <w:sz w:val="22"/>
          <w:szCs w:val="22"/>
        </w:rPr>
        <w:t xml:space="preserve"> </w:t>
      </w:r>
      <w:r w:rsidRPr="00236EF9">
        <w:rPr>
          <w:b/>
          <w:spacing w:val="-10"/>
          <w:sz w:val="22"/>
          <w:szCs w:val="22"/>
        </w:rPr>
        <w:t xml:space="preserve">IN </w:t>
      </w:r>
      <w:r w:rsidRPr="00236EF9">
        <w:rPr>
          <w:b/>
          <w:spacing w:val="-25"/>
          <w:sz w:val="22"/>
          <w:szCs w:val="22"/>
        </w:rPr>
        <w:t xml:space="preserve"> </w:t>
      </w:r>
      <w:r w:rsidRPr="00236EF9">
        <w:rPr>
          <w:b/>
          <w:spacing w:val="-10"/>
          <w:sz w:val="22"/>
          <w:szCs w:val="22"/>
        </w:rPr>
        <w:t>PUBLIC</w:t>
      </w:r>
      <w:r w:rsidRPr="00236EF9">
        <w:rPr>
          <w:b/>
          <w:spacing w:val="-4"/>
          <w:sz w:val="22"/>
          <w:szCs w:val="22"/>
        </w:rPr>
        <w:t xml:space="preserve"> </w:t>
      </w:r>
      <w:r w:rsidRPr="00236EF9">
        <w:rPr>
          <w:b/>
          <w:spacing w:val="-10"/>
          <w:sz w:val="22"/>
          <w:szCs w:val="22"/>
        </w:rPr>
        <w:t>ADMINISTRATION</w:t>
      </w:r>
      <w:r w:rsidRPr="00B23DC3">
        <w:rPr>
          <w:spacing w:val="-10"/>
        </w:rPr>
        <w:t xml:space="preserve"> </w:t>
      </w:r>
      <w:r w:rsidRPr="00B23DC3">
        <w:rPr>
          <w:rFonts w:cstheme="minorBidi"/>
          <w:color w:val="000000" w:themeColor="text1"/>
        </w:rPr>
        <w:t>(2nd Attachment</w:t>
      </w:r>
      <w:r w:rsidR="00FF5161">
        <w:rPr>
          <w:rFonts w:cstheme="minorBidi"/>
          <w:color w:val="000000" w:themeColor="text1"/>
        </w:rPr>
        <w:t xml:space="preserve"> - 10 pgs</w:t>
      </w:r>
      <w:r w:rsidRPr="00B23DC3">
        <w:rPr>
          <w:rFonts w:cstheme="minorBidi"/>
          <w:color w:val="000000" w:themeColor="text1"/>
        </w:rPr>
        <w:t>)</w:t>
      </w:r>
      <w:r w:rsidRPr="00B23DC3">
        <w:rPr>
          <w:rFonts w:cstheme="minorBidi"/>
          <w:color w:val="000000" w:themeColor="text1"/>
          <w:spacing w:val="-10"/>
        </w:rPr>
        <w:t xml:space="preserve"> </w:t>
      </w:r>
      <w:r w:rsidRPr="00B23DC3">
        <w:rPr>
          <w:rFonts w:cstheme="minorBidi"/>
          <w:color w:val="000000" w:themeColor="text1"/>
        </w:rPr>
        <w:t xml:space="preserve">that assist the resonance and significance of </w:t>
      </w:r>
      <w:r w:rsidRPr="00B23DC3">
        <w:rPr>
          <w:rFonts w:cs="Arial"/>
          <w:color w:val="000000" w:themeColor="text1"/>
        </w:rPr>
        <w:t xml:space="preserve">Gerry” Gleeson’s </w:t>
      </w:r>
      <w:r w:rsidR="00FF5161">
        <w:rPr>
          <w:rFonts w:cs="Arial"/>
          <w:color w:val="000000" w:themeColor="text1"/>
        </w:rPr>
        <w:t>formative</w:t>
      </w:r>
      <w:r w:rsidR="00C83E6D">
        <w:rPr>
          <w:rFonts w:cs="Arial"/>
          <w:color w:val="000000" w:themeColor="text1"/>
        </w:rPr>
        <w:t xml:space="preserve"> </w:t>
      </w:r>
      <w:r w:rsidRPr="00B23DC3">
        <w:rPr>
          <w:rFonts w:cs="Arial"/>
          <w:color w:val="000000" w:themeColor="text1"/>
        </w:rPr>
        <w:t>publication ‘</w:t>
      </w:r>
      <w:r w:rsidRPr="00FF5161">
        <w:rPr>
          <w:b/>
          <w:w w:val="90"/>
          <w:sz w:val="22"/>
          <w:szCs w:val="22"/>
        </w:rPr>
        <w:t>DECADE</w:t>
      </w:r>
      <w:r w:rsidRPr="00FF5161">
        <w:rPr>
          <w:b/>
          <w:spacing w:val="-1"/>
          <w:w w:val="90"/>
          <w:sz w:val="22"/>
          <w:szCs w:val="22"/>
        </w:rPr>
        <w:t xml:space="preserve"> </w:t>
      </w:r>
      <w:r w:rsidRPr="00FF5161">
        <w:rPr>
          <w:b/>
          <w:w w:val="90"/>
          <w:sz w:val="22"/>
          <w:szCs w:val="22"/>
        </w:rPr>
        <w:t>FOR</w:t>
      </w:r>
      <w:r w:rsidRPr="00FF5161">
        <w:rPr>
          <w:b/>
          <w:spacing w:val="-3"/>
          <w:sz w:val="22"/>
          <w:szCs w:val="22"/>
        </w:rPr>
        <w:t xml:space="preserve"> </w:t>
      </w:r>
      <w:r w:rsidRPr="00FF5161">
        <w:rPr>
          <w:b/>
          <w:spacing w:val="-2"/>
          <w:w w:val="90"/>
          <w:sz w:val="22"/>
          <w:szCs w:val="22"/>
        </w:rPr>
        <w:t>DEBATE’</w:t>
      </w:r>
      <w:r w:rsidR="00C83E6D">
        <w:rPr>
          <w:b/>
          <w:spacing w:val="-2"/>
          <w:w w:val="90"/>
          <w:sz w:val="20"/>
          <w:szCs w:val="20"/>
        </w:rPr>
        <w:t xml:space="preserve"> (</w:t>
      </w:r>
      <w:r w:rsidR="00C83E6D" w:rsidRPr="00B23DC3">
        <w:rPr>
          <w:rFonts w:cs="Arial"/>
          <w:color w:val="000000" w:themeColor="text1"/>
        </w:rPr>
        <w:t>16 pgs</w:t>
      </w:r>
      <w:r w:rsidR="00C83E6D">
        <w:rPr>
          <w:rFonts w:cs="Arial"/>
          <w:color w:val="000000" w:themeColor="text1"/>
        </w:rPr>
        <w:t>)</w:t>
      </w:r>
      <w:r>
        <w:rPr>
          <w:b/>
          <w:spacing w:val="-2"/>
          <w:w w:val="90"/>
          <w:sz w:val="20"/>
          <w:szCs w:val="20"/>
        </w:rPr>
        <w:t>.</w:t>
      </w:r>
    </w:p>
    <w:p w:rsidR="00BA47F7" w:rsidRPr="00CD3BAF" w:rsidRDefault="00BA47F7" w:rsidP="00BA47F7">
      <w:pPr>
        <w:rPr>
          <w:rFonts w:cstheme="minorBidi"/>
          <w:color w:val="000000" w:themeColor="text1"/>
          <w:sz w:val="2"/>
          <w:szCs w:val="2"/>
        </w:rPr>
      </w:pPr>
    </w:p>
    <w:p w:rsidR="00BA47F7" w:rsidRPr="00FF5161" w:rsidRDefault="00BA47F7" w:rsidP="00BA47F7">
      <w:pPr>
        <w:pStyle w:val="BodyText"/>
        <w:spacing w:before="1"/>
        <w:ind w:left="341" w:right="38"/>
        <w:rPr>
          <w:rFonts w:eastAsia="Times New Roman"/>
          <w:sz w:val="22"/>
          <w:szCs w:val="22"/>
        </w:rPr>
      </w:pPr>
      <w:r w:rsidRPr="00FF5161">
        <w:rPr>
          <w:sz w:val="22"/>
          <w:szCs w:val="22"/>
        </w:rPr>
        <w:t>“The public sector is a substantial employer and producer in</w:t>
      </w:r>
      <w:r w:rsidRPr="00FF5161">
        <w:rPr>
          <w:spacing w:val="-1"/>
          <w:sz w:val="22"/>
          <w:szCs w:val="22"/>
        </w:rPr>
        <w:t xml:space="preserve"> </w:t>
      </w:r>
      <w:r w:rsidRPr="00FF5161">
        <w:rPr>
          <w:sz w:val="22"/>
          <w:szCs w:val="22"/>
        </w:rPr>
        <w:t>its</w:t>
      </w:r>
      <w:r w:rsidRPr="00FF5161">
        <w:rPr>
          <w:spacing w:val="-10"/>
          <w:sz w:val="22"/>
          <w:szCs w:val="22"/>
        </w:rPr>
        <w:t xml:space="preserve"> </w:t>
      </w:r>
      <w:r w:rsidRPr="00FF5161">
        <w:rPr>
          <w:sz w:val="22"/>
          <w:szCs w:val="22"/>
        </w:rPr>
        <w:t>own right,</w:t>
      </w:r>
      <w:r w:rsidRPr="00FF5161">
        <w:rPr>
          <w:spacing w:val="-3"/>
          <w:sz w:val="22"/>
          <w:szCs w:val="22"/>
        </w:rPr>
        <w:t xml:space="preserve"> </w:t>
      </w:r>
      <w:r w:rsidRPr="00FF5161">
        <w:rPr>
          <w:b/>
          <w:sz w:val="22"/>
          <w:szCs w:val="22"/>
        </w:rPr>
        <w:t>and</w:t>
      </w:r>
      <w:r w:rsidRPr="00FF5161">
        <w:rPr>
          <w:b/>
          <w:spacing w:val="-1"/>
          <w:sz w:val="22"/>
          <w:szCs w:val="22"/>
        </w:rPr>
        <w:t xml:space="preserve"> </w:t>
      </w:r>
      <w:r w:rsidRPr="00FF5161">
        <w:rPr>
          <w:b/>
          <w:sz w:val="22"/>
          <w:szCs w:val="22"/>
        </w:rPr>
        <w:t>its</w:t>
      </w:r>
      <w:r w:rsidRPr="00FF5161">
        <w:rPr>
          <w:b/>
          <w:spacing w:val="-11"/>
          <w:sz w:val="22"/>
          <w:szCs w:val="22"/>
        </w:rPr>
        <w:t xml:space="preserve"> </w:t>
      </w:r>
      <w:r w:rsidRPr="00FF5161">
        <w:rPr>
          <w:b/>
          <w:sz w:val="22"/>
          <w:szCs w:val="22"/>
        </w:rPr>
        <w:t>functions in regard to the private sector, such as taxation, regulation, economic analysis and policy advice, have assumed critical importance in determining the overall efficiency of our economy</w:t>
      </w:r>
      <w:r w:rsidRPr="00FF5161">
        <w:rPr>
          <w:sz w:val="22"/>
          <w:szCs w:val="22"/>
        </w:rPr>
        <w:t>.”</w:t>
      </w:r>
    </w:p>
    <w:p w:rsidR="00BA47F7" w:rsidRPr="00FF5161" w:rsidRDefault="00BA47F7" w:rsidP="00BA47F7">
      <w:pPr>
        <w:rPr>
          <w:rFonts w:cstheme="minorBidi"/>
          <w:b/>
          <w:color w:val="000000" w:themeColor="text1"/>
          <w:sz w:val="2"/>
          <w:szCs w:val="2"/>
        </w:rPr>
      </w:pPr>
    </w:p>
    <w:p w:rsidR="00BA47F7" w:rsidRDefault="00BA47F7" w:rsidP="00BA47F7">
      <w:pPr>
        <w:pStyle w:val="BodyText"/>
        <w:ind w:left="341" w:right="101" w:firstLine="19"/>
      </w:pPr>
      <w:r w:rsidRPr="00FF5161">
        <w:rPr>
          <w:sz w:val="22"/>
          <w:szCs w:val="22"/>
        </w:rPr>
        <w:t>“The business of government must be the provision of the greatest public good at the least private cost -</w:t>
      </w:r>
      <w:r w:rsidRPr="00FF5161">
        <w:rPr>
          <w:spacing w:val="80"/>
          <w:sz w:val="22"/>
          <w:szCs w:val="22"/>
        </w:rPr>
        <w:t xml:space="preserve"> </w:t>
      </w:r>
      <w:r w:rsidRPr="00FF5161">
        <w:rPr>
          <w:b/>
          <w:color w:val="000000" w:themeColor="text1"/>
          <w:sz w:val="22"/>
          <w:szCs w:val="22"/>
        </w:rPr>
        <w:t>and the public service must achieve those ends without losing its professional capacity to serve governments of differing politic</w:t>
      </w:r>
      <w:bookmarkStart w:id="0" w:name="_GoBack"/>
      <w:bookmarkEnd w:id="0"/>
      <w:r w:rsidRPr="00FF5161">
        <w:rPr>
          <w:b/>
          <w:color w:val="000000" w:themeColor="text1"/>
          <w:sz w:val="22"/>
          <w:szCs w:val="22"/>
        </w:rPr>
        <w:t>al views and with different policy priorities</w:t>
      </w:r>
      <w:r w:rsidRPr="00FF5161">
        <w:rPr>
          <w:sz w:val="22"/>
          <w:szCs w:val="22"/>
        </w:rPr>
        <w:t>.”</w:t>
      </w:r>
    </w:p>
    <w:p w:rsidR="00BA47F7" w:rsidRPr="00B23DC3" w:rsidRDefault="00CD3BAF" w:rsidP="00BA47F7">
      <w:pPr>
        <w:spacing w:line="240" w:lineRule="auto"/>
        <w:rPr>
          <w:rFonts w:cs="Arial"/>
          <w:iCs/>
          <w:color w:val="000000"/>
        </w:rPr>
      </w:pPr>
      <w:r>
        <w:rPr>
          <w:rFonts w:cstheme="minorBidi"/>
          <w:color w:val="000000" w:themeColor="text1"/>
          <w:sz w:val="22"/>
          <w:szCs w:val="22"/>
        </w:rPr>
        <w:br/>
      </w:r>
      <w:r w:rsidR="00BA47F7" w:rsidRPr="00B23DC3">
        <w:rPr>
          <w:rFonts w:cstheme="minorBidi"/>
          <w:color w:val="000000" w:themeColor="text1"/>
        </w:rPr>
        <w:t>During his 12 years</w:t>
      </w:r>
      <w:r w:rsidR="00C83E6D">
        <w:rPr>
          <w:rFonts w:cstheme="minorBidi"/>
          <w:color w:val="000000" w:themeColor="text1"/>
        </w:rPr>
        <w:t>’</w:t>
      </w:r>
      <w:r w:rsidR="00BA47F7" w:rsidRPr="00B23DC3">
        <w:rPr>
          <w:rFonts w:cstheme="minorBidi"/>
          <w:color w:val="000000" w:themeColor="text1"/>
        </w:rPr>
        <w:t xml:space="preserve"> tenure as</w:t>
      </w:r>
      <w:r w:rsidR="00BA47F7" w:rsidRPr="00B23DC3">
        <w:rPr>
          <w:rFonts w:eastAsiaTheme="minorEastAsia" w:cstheme="minorBidi"/>
          <w:noProof/>
          <w:color w:val="000000" w:themeColor="text1"/>
          <w:lang w:val="en-AU"/>
        </w:rPr>
        <w:t xml:space="preserve"> </w:t>
      </w:r>
      <w:r w:rsidR="00BA47F7" w:rsidRPr="00B23DC3">
        <w:rPr>
          <w:rFonts w:cs="Arial"/>
          <w:color w:val="000000" w:themeColor="text1"/>
        </w:rPr>
        <w:t xml:space="preserve">Secretary of the NSW Premier's Department, Gerry Gleeson, </w:t>
      </w:r>
      <w:r w:rsidR="00FF5161">
        <w:rPr>
          <w:rFonts w:cs="Arial"/>
          <w:color w:val="000000" w:themeColor="text1"/>
        </w:rPr>
        <w:t>initiated</w:t>
      </w:r>
      <w:r w:rsidR="00BA47F7" w:rsidRPr="00B23DC3">
        <w:rPr>
          <w:rFonts w:cs="Arial"/>
          <w:color w:val="000000" w:themeColor="text1"/>
        </w:rPr>
        <w:t xml:space="preserve"> material </w:t>
      </w:r>
      <w:r w:rsidR="00BA47F7" w:rsidRPr="00C83E6D">
        <w:rPr>
          <w:rFonts w:cs="Arial"/>
          <w:i/>
          <w:color w:val="000000" w:themeColor="text1"/>
        </w:rPr>
        <w:t>economies of scale</w:t>
      </w:r>
      <w:r w:rsidR="00BA47F7" w:rsidRPr="00B23DC3">
        <w:rPr>
          <w:rFonts w:cs="Arial"/>
          <w:color w:val="000000" w:themeColor="text1"/>
        </w:rPr>
        <w:t xml:space="preserve"> that </w:t>
      </w:r>
      <w:r w:rsidR="00C83E6D">
        <w:rPr>
          <w:rFonts w:cs="Arial"/>
          <w:color w:val="000000" w:themeColor="text1"/>
        </w:rPr>
        <w:t xml:space="preserve">most </w:t>
      </w:r>
      <w:r w:rsidR="00BA47F7" w:rsidRPr="00B23DC3">
        <w:rPr>
          <w:rFonts w:cs="Arial"/>
          <w:color w:val="000000" w:themeColor="text1"/>
        </w:rPr>
        <w:t xml:space="preserve">‘public service’ departments then </w:t>
      </w:r>
      <w:r w:rsidR="000357FA">
        <w:rPr>
          <w:rFonts w:cs="Arial"/>
          <w:color w:val="000000" w:themeColor="text1"/>
        </w:rPr>
        <w:t>displayed</w:t>
      </w:r>
      <w:r w:rsidR="00BA47F7" w:rsidRPr="00B23DC3">
        <w:rPr>
          <w:rFonts w:cs="Arial"/>
          <w:color w:val="000000" w:themeColor="text1"/>
        </w:rPr>
        <w:t xml:space="preserve"> due to a c</w:t>
      </w:r>
      <w:r w:rsidR="00BA47F7" w:rsidRPr="00B23DC3">
        <w:rPr>
          <w:rFonts w:cs="Arial"/>
          <w:iCs/>
          <w:color w:val="000000"/>
        </w:rPr>
        <w:t xml:space="preserve">ollegiate, loyal, committed and a co-operative working collaboration.  Those personal traits enabled synergies / substantive </w:t>
      </w:r>
      <w:r w:rsidR="00BA47F7" w:rsidRPr="00C83E6D">
        <w:rPr>
          <w:rFonts w:cs="Arial"/>
          <w:i/>
          <w:iCs/>
          <w:color w:val="000000"/>
        </w:rPr>
        <w:t>economies of scale</w:t>
      </w:r>
      <w:r w:rsidR="00BA47F7" w:rsidRPr="00B23DC3">
        <w:rPr>
          <w:rFonts w:cs="Arial"/>
          <w:iCs/>
          <w:color w:val="000000"/>
        </w:rPr>
        <w:t xml:space="preserve"> because committed, capable, </w:t>
      </w:r>
      <w:r w:rsidR="00C83E6D" w:rsidRPr="00B23DC3">
        <w:rPr>
          <w:rFonts w:cs="Arial"/>
          <w:iCs/>
          <w:color w:val="000000"/>
        </w:rPr>
        <w:t>habitually</w:t>
      </w:r>
      <w:r w:rsidR="00BA47F7" w:rsidRPr="00B23DC3">
        <w:rPr>
          <w:rFonts w:cs="Arial"/>
          <w:iCs/>
          <w:color w:val="000000"/>
        </w:rPr>
        <w:t xml:space="preserve"> selfless employees that had often worked together for several years and therefore knew the reliability and skills of each other</w:t>
      </w:r>
      <w:r w:rsidR="00C83E6D">
        <w:rPr>
          <w:rFonts w:cs="Arial"/>
          <w:iCs/>
          <w:color w:val="000000"/>
        </w:rPr>
        <w:t>,</w:t>
      </w:r>
      <w:r w:rsidR="00BA47F7" w:rsidRPr="00B23DC3">
        <w:rPr>
          <w:rFonts w:cs="Arial"/>
          <w:iCs/>
          <w:color w:val="000000"/>
        </w:rPr>
        <w:t xml:space="preserve"> </w:t>
      </w:r>
      <w:r w:rsidRPr="00B23DC3">
        <w:rPr>
          <w:rFonts w:cs="Arial"/>
          <w:iCs/>
          <w:color w:val="000000"/>
        </w:rPr>
        <w:t xml:space="preserve">thereby </w:t>
      </w:r>
      <w:r w:rsidR="00BA47F7" w:rsidRPr="00B23DC3">
        <w:rPr>
          <w:rFonts w:cs="Arial"/>
          <w:iCs/>
          <w:color w:val="000000"/>
        </w:rPr>
        <w:t>enhanc</w:t>
      </w:r>
      <w:r w:rsidR="00C83E6D">
        <w:rPr>
          <w:rFonts w:cs="Arial"/>
          <w:iCs/>
          <w:color w:val="000000"/>
        </w:rPr>
        <w:t>ing</w:t>
      </w:r>
      <w:r w:rsidR="00BA47F7" w:rsidRPr="00B23DC3">
        <w:rPr>
          <w:rFonts w:cs="Arial"/>
          <w:iCs/>
          <w:color w:val="000000"/>
        </w:rPr>
        <w:t xml:space="preserve"> synergies</w:t>
      </w:r>
      <w:r w:rsidR="00BA47F7" w:rsidRPr="00B23DC3">
        <w:rPr>
          <w:rFonts w:cs="Arial"/>
          <w:i/>
          <w:iCs/>
          <w:color w:val="000000"/>
        </w:rPr>
        <w:t>.</w:t>
      </w:r>
    </w:p>
    <w:p w:rsidR="00BA47F7" w:rsidRPr="00B23DC3" w:rsidRDefault="00BA47F7" w:rsidP="00BA47F7">
      <w:pPr>
        <w:spacing w:line="240" w:lineRule="auto"/>
        <w:rPr>
          <w:rFonts w:cs="Arial"/>
          <w:iCs/>
          <w:color w:val="000000"/>
        </w:rPr>
      </w:pPr>
      <w:r w:rsidRPr="00B23DC3">
        <w:rPr>
          <w:rFonts w:cs="Arial"/>
          <w:iCs/>
          <w:color w:val="000000"/>
        </w:rPr>
        <w:t>Professional and technical knowledge of the NSW public service, a proven track record; Gerry</w:t>
      </w:r>
      <w:r w:rsidR="00FF5161">
        <w:rPr>
          <w:rFonts w:cs="Arial"/>
          <w:iCs/>
          <w:color w:val="000000"/>
        </w:rPr>
        <w:t> </w:t>
      </w:r>
      <w:r w:rsidRPr="00B23DC3">
        <w:rPr>
          <w:rFonts w:cs="Arial"/>
          <w:color w:val="000000" w:themeColor="text1"/>
        </w:rPr>
        <w:t xml:space="preserve">Gleeson had the lot and never backed-off </w:t>
      </w:r>
      <w:r w:rsidR="00CD3BAF" w:rsidRPr="00B23DC3">
        <w:rPr>
          <w:rFonts w:cs="Arial"/>
          <w:color w:val="000000" w:themeColor="text1"/>
        </w:rPr>
        <w:t xml:space="preserve">from </w:t>
      </w:r>
      <w:r w:rsidRPr="00B23DC3">
        <w:rPr>
          <w:rFonts w:cs="Arial"/>
          <w:color w:val="000000" w:themeColor="text1"/>
        </w:rPr>
        <w:t>his beliefs.</w:t>
      </w:r>
      <w:r w:rsidRPr="00B23DC3">
        <w:rPr>
          <w:rFonts w:cs="Arial"/>
          <w:iCs/>
          <w:color w:val="000000"/>
        </w:rPr>
        <w:t xml:space="preserve"> </w:t>
      </w:r>
    </w:p>
    <w:p w:rsidR="00BA47F7" w:rsidRDefault="00BA47F7" w:rsidP="00BA47F7">
      <w:pPr>
        <w:spacing w:after="0" w:line="240" w:lineRule="auto"/>
        <w:rPr>
          <w:rFonts w:cstheme="minorBidi"/>
          <w:color w:val="000000" w:themeColor="text1"/>
          <w:sz w:val="22"/>
          <w:szCs w:val="22"/>
        </w:rPr>
      </w:pPr>
      <w:r w:rsidRPr="00B23DC3">
        <w:rPr>
          <w:rFonts w:cs="Arial"/>
          <w:iCs/>
          <w:color w:val="000000"/>
        </w:rPr>
        <w:lastRenderedPageBreak/>
        <w:t xml:space="preserve">Attachment C contain extracts from page 11 and page 14 of </w:t>
      </w:r>
      <w:r w:rsidRPr="00B23DC3">
        <w:rPr>
          <w:rFonts w:cs="Arial"/>
          <w:color w:val="000000" w:themeColor="text1"/>
        </w:rPr>
        <w:t>‘</w:t>
      </w:r>
      <w:r w:rsidRPr="00FF5161">
        <w:rPr>
          <w:b/>
          <w:w w:val="90"/>
          <w:sz w:val="22"/>
          <w:szCs w:val="22"/>
        </w:rPr>
        <w:t>DECADE</w:t>
      </w:r>
      <w:r w:rsidRPr="00FF5161">
        <w:rPr>
          <w:b/>
          <w:spacing w:val="-1"/>
          <w:w w:val="90"/>
          <w:sz w:val="22"/>
          <w:szCs w:val="22"/>
        </w:rPr>
        <w:t xml:space="preserve"> </w:t>
      </w:r>
      <w:r w:rsidRPr="00FF5161">
        <w:rPr>
          <w:b/>
          <w:w w:val="90"/>
          <w:sz w:val="22"/>
          <w:szCs w:val="22"/>
        </w:rPr>
        <w:t>FOR</w:t>
      </w:r>
      <w:r w:rsidRPr="00FF5161">
        <w:rPr>
          <w:b/>
          <w:spacing w:val="-3"/>
          <w:sz w:val="22"/>
          <w:szCs w:val="22"/>
        </w:rPr>
        <w:t xml:space="preserve"> </w:t>
      </w:r>
      <w:r w:rsidRPr="00FF5161">
        <w:rPr>
          <w:b/>
          <w:spacing w:val="-2"/>
          <w:w w:val="90"/>
          <w:sz w:val="22"/>
          <w:szCs w:val="22"/>
        </w:rPr>
        <w:t>DEBATE’</w:t>
      </w:r>
      <w:r w:rsidRPr="00B23DC3">
        <w:rPr>
          <w:rFonts w:cs="Arial"/>
          <w:spacing w:val="-2"/>
          <w:w w:val="90"/>
        </w:rPr>
        <w:t>.  The immediate extract</w:t>
      </w:r>
      <w:r w:rsidRPr="00B23DC3">
        <w:rPr>
          <w:rFonts w:cstheme="minorBidi"/>
          <w:color w:val="000000" w:themeColor="text1"/>
        </w:rPr>
        <w:t xml:space="preserve"> </w:t>
      </w:r>
      <w:r w:rsidR="00FF5161">
        <w:rPr>
          <w:rFonts w:cstheme="minorBidi"/>
          <w:color w:val="000000" w:themeColor="text1"/>
        </w:rPr>
        <w:t xml:space="preserve">hereunder </w:t>
      </w:r>
      <w:r w:rsidRPr="00B23DC3">
        <w:rPr>
          <w:rFonts w:cstheme="minorBidi"/>
          <w:color w:val="000000" w:themeColor="text1"/>
        </w:rPr>
        <w:t>alluded to a concern about the ‘public service’ out-sourcing its responsibilities/obligations, o</w:t>
      </w:r>
      <w:r w:rsidR="00FF5161">
        <w:rPr>
          <w:rFonts w:cstheme="minorBidi"/>
          <w:color w:val="000000" w:themeColor="text1"/>
        </w:rPr>
        <w:t>ccasionally</w:t>
      </w:r>
      <w:r w:rsidRPr="00B23DC3">
        <w:rPr>
          <w:rFonts w:cstheme="minorBidi"/>
          <w:color w:val="000000" w:themeColor="text1"/>
        </w:rPr>
        <w:t xml:space="preserve"> to </w:t>
      </w:r>
      <w:r w:rsidR="00FF5161">
        <w:rPr>
          <w:rFonts w:cstheme="minorBidi"/>
          <w:color w:val="000000" w:themeColor="text1"/>
        </w:rPr>
        <w:t xml:space="preserve">listed </w:t>
      </w:r>
      <w:r w:rsidRPr="00B23DC3">
        <w:rPr>
          <w:rFonts w:cstheme="minorBidi"/>
          <w:color w:val="000000" w:themeColor="text1"/>
        </w:rPr>
        <w:t>companie</w:t>
      </w:r>
      <w:r w:rsidR="00BF2FD3">
        <w:rPr>
          <w:rFonts w:cstheme="minorBidi"/>
          <w:color w:val="000000" w:themeColor="text1"/>
        </w:rPr>
        <w:t>s it was chartered to regulate</w:t>
      </w:r>
      <w:r w:rsidRPr="00B23DC3">
        <w:rPr>
          <w:rFonts w:cstheme="minorBidi"/>
          <w:color w:val="000000" w:themeColor="text1"/>
        </w:rPr>
        <w:t>.  Below are key snippets</w:t>
      </w:r>
      <w:r>
        <w:rPr>
          <w:rFonts w:cstheme="minorBidi"/>
          <w:color w:val="000000" w:themeColor="text1"/>
          <w:sz w:val="22"/>
          <w:szCs w:val="22"/>
        </w:rPr>
        <w:t>:</w:t>
      </w:r>
    </w:p>
    <w:p w:rsidR="00BA47F7" w:rsidRPr="00D0606C" w:rsidRDefault="00BA47F7" w:rsidP="00D0606C">
      <w:pPr>
        <w:spacing w:before="120" w:after="0"/>
        <w:rPr>
          <w:rFonts w:cstheme="minorBidi"/>
          <w:color w:val="000000" w:themeColor="text1"/>
          <w:sz w:val="18"/>
          <w:szCs w:val="18"/>
        </w:rPr>
      </w:pPr>
      <w:r w:rsidRPr="00D0606C">
        <w:rPr>
          <w:rFonts w:cstheme="minorBidi"/>
          <w:color w:val="000000" w:themeColor="text1"/>
          <w:sz w:val="18"/>
          <w:szCs w:val="18"/>
        </w:rPr>
        <w:t>Pg 11</w:t>
      </w:r>
    </w:p>
    <w:p w:rsidR="00BA47F7" w:rsidRPr="00CD3BAF" w:rsidRDefault="00BA47F7" w:rsidP="00BA47F7">
      <w:pPr>
        <w:ind w:left="720"/>
        <w:rPr>
          <w:rFonts w:ascii="Cambria" w:hAnsi="Cambria" w:cstheme="minorBidi"/>
          <w:color w:val="000000" w:themeColor="text1"/>
          <w:sz w:val="22"/>
          <w:szCs w:val="22"/>
        </w:rPr>
      </w:pPr>
      <w:r w:rsidRPr="00CD3BAF">
        <w:rPr>
          <w:rFonts w:ascii="Cambria" w:hAnsi="Cambria" w:cs="Arial"/>
          <w:b/>
          <w:sz w:val="22"/>
          <w:szCs w:val="22"/>
        </w:rPr>
        <w:t xml:space="preserve"> “I</w:t>
      </w:r>
      <w:r w:rsidRPr="00CD3BAF">
        <w:rPr>
          <w:rFonts w:ascii="Cambria" w:hAnsi="Cambria" w:cs="Arial"/>
          <w:b/>
          <w:spacing w:val="11"/>
          <w:sz w:val="22"/>
          <w:szCs w:val="22"/>
        </w:rPr>
        <w:t xml:space="preserve"> </w:t>
      </w:r>
      <w:r w:rsidRPr="00CD3BAF">
        <w:rPr>
          <w:rFonts w:ascii="Cambria" w:hAnsi="Cambria" w:cs="Arial"/>
          <w:b/>
          <w:sz w:val="22"/>
          <w:szCs w:val="22"/>
        </w:rPr>
        <w:t>will</w:t>
      </w:r>
      <w:r w:rsidRPr="00CD3BAF">
        <w:rPr>
          <w:rFonts w:ascii="Cambria" w:hAnsi="Cambria" w:cs="Arial"/>
          <w:b/>
          <w:spacing w:val="8"/>
          <w:sz w:val="22"/>
          <w:szCs w:val="22"/>
        </w:rPr>
        <w:t xml:space="preserve"> </w:t>
      </w:r>
      <w:r w:rsidRPr="00CD3BAF">
        <w:rPr>
          <w:rFonts w:ascii="Cambria" w:hAnsi="Cambria" w:cs="Arial"/>
          <w:b/>
          <w:sz w:val="22"/>
          <w:szCs w:val="22"/>
        </w:rPr>
        <w:t>mention</w:t>
      </w:r>
      <w:r w:rsidRPr="00CD3BAF">
        <w:rPr>
          <w:rFonts w:ascii="Cambria" w:hAnsi="Cambria" w:cs="Arial"/>
          <w:b/>
          <w:spacing w:val="11"/>
          <w:sz w:val="22"/>
          <w:szCs w:val="22"/>
        </w:rPr>
        <w:t xml:space="preserve"> </w:t>
      </w:r>
      <w:r w:rsidRPr="00CD3BAF">
        <w:rPr>
          <w:rFonts w:ascii="Cambria" w:hAnsi="Cambria" w:cs="Arial"/>
          <w:b/>
          <w:sz w:val="22"/>
          <w:szCs w:val="22"/>
        </w:rPr>
        <w:t>two</w:t>
      </w:r>
      <w:r w:rsidRPr="00CD3BAF">
        <w:rPr>
          <w:rFonts w:ascii="Cambria" w:hAnsi="Cambria" w:cs="Arial"/>
          <w:b/>
          <w:spacing w:val="-11"/>
          <w:sz w:val="22"/>
          <w:szCs w:val="22"/>
        </w:rPr>
        <w:t xml:space="preserve"> </w:t>
      </w:r>
      <w:r w:rsidRPr="00CD3BAF">
        <w:rPr>
          <w:rFonts w:ascii="Cambria" w:hAnsi="Cambria" w:cs="Arial"/>
          <w:b/>
          <w:sz w:val="22"/>
          <w:szCs w:val="22"/>
        </w:rPr>
        <w:t>other</w:t>
      </w:r>
      <w:r w:rsidRPr="00CD3BAF">
        <w:rPr>
          <w:rFonts w:ascii="Cambria" w:hAnsi="Cambria" w:cs="Arial"/>
          <w:b/>
          <w:spacing w:val="5"/>
          <w:sz w:val="22"/>
          <w:szCs w:val="22"/>
        </w:rPr>
        <w:t xml:space="preserve"> </w:t>
      </w:r>
      <w:r w:rsidRPr="00CD3BAF">
        <w:rPr>
          <w:rFonts w:ascii="Cambria" w:hAnsi="Cambria" w:cs="Arial"/>
          <w:b/>
          <w:sz w:val="22"/>
          <w:szCs w:val="22"/>
        </w:rPr>
        <w:t>trends</w:t>
      </w:r>
      <w:r w:rsidRPr="00CD3BAF">
        <w:rPr>
          <w:rFonts w:ascii="Cambria" w:hAnsi="Cambria" w:cs="Arial"/>
          <w:b/>
          <w:spacing w:val="3"/>
          <w:sz w:val="22"/>
          <w:szCs w:val="22"/>
        </w:rPr>
        <w:t xml:space="preserve"> </w:t>
      </w:r>
      <w:r w:rsidRPr="00CD3BAF">
        <w:rPr>
          <w:rFonts w:ascii="Cambria" w:hAnsi="Cambria" w:cs="Arial"/>
          <w:b/>
          <w:sz w:val="22"/>
          <w:szCs w:val="22"/>
        </w:rPr>
        <w:t>that</w:t>
      </w:r>
      <w:r w:rsidRPr="00CD3BAF">
        <w:rPr>
          <w:rFonts w:ascii="Cambria" w:hAnsi="Cambria" w:cs="Arial"/>
          <w:b/>
          <w:spacing w:val="3"/>
          <w:sz w:val="22"/>
          <w:szCs w:val="22"/>
        </w:rPr>
        <w:t xml:space="preserve"> </w:t>
      </w:r>
      <w:r w:rsidRPr="00CD3BAF">
        <w:rPr>
          <w:rFonts w:ascii="Cambria" w:hAnsi="Cambria" w:cs="Arial"/>
          <w:b/>
          <w:spacing w:val="-2"/>
          <w:sz w:val="22"/>
          <w:szCs w:val="22"/>
        </w:rPr>
        <w:t xml:space="preserve">irritate </w:t>
      </w:r>
      <w:r w:rsidRPr="00CD3BAF">
        <w:rPr>
          <w:rFonts w:ascii="Cambria" w:hAnsi="Cambria" w:cs="Arial"/>
          <w:b/>
          <w:sz w:val="22"/>
          <w:szCs w:val="22"/>
        </w:rPr>
        <w:t xml:space="preserve">me. The first is the rapidly growing use of </w:t>
      </w:r>
      <w:r w:rsidRPr="00CD3BAF">
        <w:rPr>
          <w:rFonts w:ascii="Cambria" w:hAnsi="Cambria" w:cs="Arial"/>
          <w:b/>
          <w:spacing w:val="-2"/>
          <w:sz w:val="22"/>
          <w:szCs w:val="22"/>
        </w:rPr>
        <w:t>external</w:t>
      </w:r>
      <w:r w:rsidRPr="00CD3BAF">
        <w:rPr>
          <w:rFonts w:ascii="Cambria" w:hAnsi="Cambria" w:cs="Arial"/>
          <w:b/>
          <w:spacing w:val="-11"/>
          <w:sz w:val="22"/>
          <w:szCs w:val="22"/>
        </w:rPr>
        <w:t xml:space="preserve"> </w:t>
      </w:r>
      <w:r w:rsidRPr="00CD3BAF">
        <w:rPr>
          <w:rFonts w:ascii="Cambria" w:hAnsi="Cambria" w:cs="Arial"/>
          <w:b/>
          <w:spacing w:val="-2"/>
          <w:sz w:val="22"/>
          <w:szCs w:val="22"/>
        </w:rPr>
        <w:t>consultants</w:t>
      </w:r>
      <w:r w:rsidRPr="00CD3BAF">
        <w:rPr>
          <w:rFonts w:ascii="Cambria" w:hAnsi="Cambria" w:cs="Arial"/>
          <w:b/>
          <w:spacing w:val="-10"/>
          <w:sz w:val="22"/>
          <w:szCs w:val="22"/>
        </w:rPr>
        <w:t xml:space="preserve"> </w:t>
      </w:r>
      <w:r w:rsidRPr="00CD3BAF">
        <w:rPr>
          <w:rFonts w:ascii="Cambria" w:hAnsi="Cambria" w:cs="Arial"/>
          <w:b/>
          <w:spacing w:val="-2"/>
          <w:sz w:val="22"/>
          <w:szCs w:val="22"/>
        </w:rPr>
        <w:t>to</w:t>
      </w:r>
      <w:r w:rsidRPr="00CD3BAF">
        <w:rPr>
          <w:rFonts w:ascii="Cambria" w:hAnsi="Cambria" w:cs="Arial"/>
          <w:b/>
          <w:spacing w:val="-11"/>
          <w:sz w:val="22"/>
          <w:szCs w:val="22"/>
        </w:rPr>
        <w:t xml:space="preserve"> </w:t>
      </w:r>
      <w:r w:rsidRPr="00CD3BAF">
        <w:rPr>
          <w:rFonts w:ascii="Cambria" w:hAnsi="Cambria" w:cs="Arial"/>
          <w:b/>
          <w:spacing w:val="-2"/>
          <w:sz w:val="22"/>
          <w:szCs w:val="22"/>
        </w:rPr>
        <w:t>advise</w:t>
      </w:r>
      <w:r w:rsidRPr="00CD3BAF">
        <w:rPr>
          <w:rFonts w:ascii="Cambria" w:hAnsi="Cambria" w:cs="Arial"/>
          <w:b/>
          <w:spacing w:val="-10"/>
          <w:sz w:val="22"/>
          <w:szCs w:val="22"/>
        </w:rPr>
        <w:t xml:space="preserve"> </w:t>
      </w:r>
      <w:r w:rsidRPr="00CD3BAF">
        <w:rPr>
          <w:rFonts w:ascii="Cambria" w:hAnsi="Cambria" w:cs="Arial"/>
          <w:b/>
          <w:spacing w:val="-2"/>
          <w:sz w:val="22"/>
          <w:szCs w:val="22"/>
        </w:rPr>
        <w:t>on</w:t>
      </w:r>
      <w:r w:rsidRPr="00CD3BAF">
        <w:rPr>
          <w:rFonts w:ascii="Cambria" w:hAnsi="Cambria" w:cs="Arial"/>
          <w:b/>
          <w:spacing w:val="-8"/>
          <w:sz w:val="22"/>
          <w:szCs w:val="22"/>
        </w:rPr>
        <w:t xml:space="preserve"> </w:t>
      </w:r>
      <w:r w:rsidRPr="00CD3BAF">
        <w:rPr>
          <w:rFonts w:ascii="Cambria" w:hAnsi="Cambria" w:cs="Arial"/>
          <w:b/>
          <w:spacing w:val="-2"/>
          <w:sz w:val="22"/>
          <w:szCs w:val="22"/>
        </w:rPr>
        <w:t>matters</w:t>
      </w:r>
      <w:r w:rsidRPr="00CD3BAF">
        <w:rPr>
          <w:rFonts w:ascii="Cambria" w:hAnsi="Cambria" w:cs="Arial"/>
          <w:b/>
          <w:spacing w:val="-9"/>
          <w:sz w:val="22"/>
          <w:szCs w:val="22"/>
        </w:rPr>
        <w:t xml:space="preserve"> </w:t>
      </w:r>
      <w:r w:rsidRPr="00CD3BAF">
        <w:rPr>
          <w:rFonts w:ascii="Cambria" w:hAnsi="Cambria" w:cs="Arial"/>
          <w:b/>
          <w:spacing w:val="-2"/>
          <w:sz w:val="22"/>
          <w:szCs w:val="22"/>
        </w:rPr>
        <w:t>to</w:t>
      </w:r>
      <w:r w:rsidRPr="00CD3BAF">
        <w:rPr>
          <w:rFonts w:ascii="Cambria" w:hAnsi="Cambria" w:cs="Arial"/>
          <w:b/>
          <w:spacing w:val="-11"/>
          <w:sz w:val="22"/>
          <w:szCs w:val="22"/>
        </w:rPr>
        <w:t xml:space="preserve"> </w:t>
      </w:r>
      <w:r w:rsidRPr="00CD3BAF">
        <w:rPr>
          <w:rFonts w:ascii="Cambria" w:hAnsi="Cambria" w:cs="Arial"/>
          <w:b/>
          <w:spacing w:val="-2"/>
          <w:sz w:val="22"/>
          <w:szCs w:val="22"/>
        </w:rPr>
        <w:t xml:space="preserve">many </w:t>
      </w:r>
      <w:r w:rsidRPr="00CD3BAF">
        <w:rPr>
          <w:rFonts w:ascii="Cambria" w:hAnsi="Cambria" w:cs="Arial"/>
          <w:b/>
          <w:sz w:val="22"/>
          <w:szCs w:val="22"/>
        </w:rPr>
        <w:t>of which, in my view, they do not bring any special expertise or experience</w:t>
      </w:r>
      <w:r w:rsidRPr="00CD3BAF">
        <w:rPr>
          <w:rFonts w:ascii="Cambria" w:hAnsi="Cambria" w:cs="Arial"/>
          <w:sz w:val="22"/>
          <w:szCs w:val="22"/>
        </w:rPr>
        <w:t>. Hardly a week passes that</w:t>
      </w:r>
      <w:r w:rsidRPr="00CD3BAF">
        <w:rPr>
          <w:rFonts w:ascii="Cambria" w:hAnsi="Cambria" w:cs="Arial"/>
          <w:spacing w:val="-5"/>
          <w:sz w:val="22"/>
          <w:szCs w:val="22"/>
        </w:rPr>
        <w:t xml:space="preserve"> </w:t>
      </w:r>
      <w:r w:rsidRPr="00CD3BAF">
        <w:rPr>
          <w:rFonts w:ascii="Cambria" w:hAnsi="Cambria" w:cs="Arial"/>
          <w:sz w:val="22"/>
          <w:szCs w:val="22"/>
        </w:rPr>
        <w:t>I do</w:t>
      </w:r>
      <w:r w:rsidRPr="00CD3BAF">
        <w:rPr>
          <w:rFonts w:ascii="Cambria" w:hAnsi="Cambria" w:cs="Arial"/>
          <w:spacing w:val="-2"/>
          <w:sz w:val="22"/>
          <w:szCs w:val="22"/>
        </w:rPr>
        <w:t xml:space="preserve"> </w:t>
      </w:r>
      <w:r w:rsidRPr="00CD3BAF">
        <w:rPr>
          <w:rFonts w:ascii="Cambria" w:hAnsi="Cambria" w:cs="Arial"/>
          <w:sz w:val="22"/>
          <w:szCs w:val="22"/>
        </w:rPr>
        <w:t>not read</w:t>
      </w:r>
      <w:r w:rsidRPr="00CD3BAF">
        <w:rPr>
          <w:rFonts w:ascii="Cambria" w:hAnsi="Cambria" w:cs="Arial"/>
          <w:spacing w:val="-3"/>
          <w:sz w:val="22"/>
          <w:szCs w:val="22"/>
        </w:rPr>
        <w:t xml:space="preserve"> </w:t>
      </w:r>
      <w:r w:rsidRPr="00CD3BAF">
        <w:rPr>
          <w:rFonts w:ascii="Cambria" w:hAnsi="Cambria" w:cs="Arial"/>
          <w:sz w:val="22"/>
          <w:szCs w:val="22"/>
        </w:rPr>
        <w:t>a</w:t>
      </w:r>
      <w:r w:rsidRPr="00CD3BAF">
        <w:rPr>
          <w:rFonts w:ascii="Cambria" w:hAnsi="Cambria" w:cs="Arial"/>
          <w:spacing w:val="-1"/>
          <w:sz w:val="22"/>
          <w:szCs w:val="22"/>
        </w:rPr>
        <w:t xml:space="preserve"> </w:t>
      </w:r>
      <w:r w:rsidRPr="00CD3BAF">
        <w:rPr>
          <w:rFonts w:ascii="Cambria" w:hAnsi="Cambria" w:cs="Arial"/>
          <w:sz w:val="22"/>
          <w:szCs w:val="22"/>
        </w:rPr>
        <w:t>public advertisement seeking expressions of interest to</w:t>
      </w:r>
      <w:r w:rsidRPr="00CD3BAF">
        <w:rPr>
          <w:rFonts w:ascii="Cambria" w:hAnsi="Cambria" w:cs="Arial"/>
          <w:spacing w:val="-4"/>
          <w:sz w:val="22"/>
          <w:szCs w:val="22"/>
        </w:rPr>
        <w:t xml:space="preserve"> </w:t>
      </w:r>
      <w:r w:rsidRPr="00CD3BAF">
        <w:rPr>
          <w:rFonts w:ascii="Cambria" w:hAnsi="Cambria" w:cs="Arial"/>
          <w:sz w:val="22"/>
          <w:szCs w:val="22"/>
        </w:rPr>
        <w:t>examine and report</w:t>
      </w:r>
      <w:r w:rsidRPr="00CD3BAF">
        <w:rPr>
          <w:rFonts w:ascii="Cambria" w:hAnsi="Cambria" w:cs="Arial"/>
          <w:spacing w:val="-13"/>
          <w:sz w:val="22"/>
          <w:szCs w:val="22"/>
        </w:rPr>
        <w:t xml:space="preserve"> </w:t>
      </w:r>
      <w:r w:rsidRPr="00CD3BAF">
        <w:rPr>
          <w:rFonts w:ascii="Cambria" w:hAnsi="Cambria" w:cs="Arial"/>
          <w:sz w:val="22"/>
          <w:szCs w:val="22"/>
        </w:rPr>
        <w:t>on</w:t>
      </w:r>
      <w:r w:rsidRPr="00CD3BAF">
        <w:rPr>
          <w:rFonts w:ascii="Cambria" w:hAnsi="Cambria" w:cs="Arial"/>
          <w:spacing w:val="-12"/>
          <w:sz w:val="22"/>
          <w:szCs w:val="22"/>
        </w:rPr>
        <w:t xml:space="preserve"> </w:t>
      </w:r>
      <w:r w:rsidRPr="00CD3BAF">
        <w:rPr>
          <w:rFonts w:ascii="Cambria" w:hAnsi="Cambria" w:cs="Arial"/>
          <w:sz w:val="22"/>
          <w:szCs w:val="22"/>
        </w:rPr>
        <w:t>fundamental</w:t>
      </w:r>
      <w:r w:rsidRPr="00CD3BAF">
        <w:rPr>
          <w:rFonts w:ascii="Cambria" w:hAnsi="Cambria" w:cs="Arial"/>
          <w:spacing w:val="-13"/>
          <w:sz w:val="22"/>
          <w:szCs w:val="22"/>
        </w:rPr>
        <w:t xml:space="preserve"> </w:t>
      </w:r>
      <w:r w:rsidRPr="00CD3BAF">
        <w:rPr>
          <w:rFonts w:ascii="Cambria" w:hAnsi="Cambria" w:cs="Arial"/>
          <w:sz w:val="22"/>
          <w:szCs w:val="22"/>
        </w:rPr>
        <w:t>departmental</w:t>
      </w:r>
      <w:r w:rsidRPr="00CD3BAF">
        <w:rPr>
          <w:rFonts w:ascii="Cambria" w:hAnsi="Cambria" w:cs="Arial"/>
          <w:spacing w:val="-3"/>
          <w:sz w:val="22"/>
          <w:szCs w:val="22"/>
        </w:rPr>
        <w:t xml:space="preserve"> </w:t>
      </w:r>
      <w:r w:rsidRPr="00CD3BAF">
        <w:rPr>
          <w:rFonts w:ascii="Cambria" w:hAnsi="Cambria" w:cs="Arial"/>
          <w:sz w:val="22"/>
          <w:szCs w:val="22"/>
        </w:rPr>
        <w:t>matters.</w:t>
      </w:r>
      <w:r w:rsidRPr="00CD3BAF">
        <w:rPr>
          <w:rFonts w:ascii="Cambria" w:hAnsi="Cambria" w:cs="Arial"/>
          <w:spacing w:val="-7"/>
          <w:sz w:val="22"/>
          <w:szCs w:val="22"/>
        </w:rPr>
        <w:t xml:space="preserve"> </w:t>
      </w:r>
      <w:r w:rsidRPr="00CD3BAF">
        <w:rPr>
          <w:rFonts w:ascii="Cambria" w:hAnsi="Cambria" w:cs="Arial"/>
          <w:sz w:val="22"/>
          <w:szCs w:val="22"/>
        </w:rPr>
        <w:t xml:space="preserve">As </w:t>
      </w:r>
      <w:r w:rsidRPr="00CD3BAF">
        <w:rPr>
          <w:rFonts w:ascii="Cambria" w:hAnsi="Cambria" w:cs="Arial"/>
          <w:spacing w:val="-2"/>
          <w:sz w:val="22"/>
          <w:szCs w:val="22"/>
        </w:rPr>
        <w:t>secretary</w:t>
      </w:r>
      <w:r w:rsidRPr="00CD3BAF">
        <w:rPr>
          <w:rFonts w:ascii="Cambria" w:hAnsi="Cambria" w:cs="Arial"/>
          <w:spacing w:val="-11"/>
          <w:sz w:val="22"/>
          <w:szCs w:val="22"/>
        </w:rPr>
        <w:t xml:space="preserve"> </w:t>
      </w:r>
      <w:r w:rsidRPr="00CD3BAF">
        <w:rPr>
          <w:rFonts w:ascii="Cambria" w:hAnsi="Cambria" w:cs="Arial"/>
          <w:spacing w:val="-2"/>
          <w:sz w:val="22"/>
          <w:szCs w:val="22"/>
        </w:rPr>
        <w:t>of</w:t>
      </w:r>
      <w:r w:rsidRPr="00CD3BAF">
        <w:rPr>
          <w:rFonts w:ascii="Cambria" w:hAnsi="Cambria" w:cs="Arial"/>
          <w:spacing w:val="-10"/>
          <w:sz w:val="22"/>
          <w:szCs w:val="22"/>
        </w:rPr>
        <w:t xml:space="preserve"> </w:t>
      </w:r>
      <w:r w:rsidRPr="00CD3BAF">
        <w:rPr>
          <w:rFonts w:ascii="Cambria" w:hAnsi="Cambria" w:cs="Arial"/>
          <w:spacing w:val="-2"/>
          <w:sz w:val="22"/>
          <w:szCs w:val="22"/>
        </w:rPr>
        <w:t>a</w:t>
      </w:r>
      <w:r w:rsidRPr="00CD3BAF">
        <w:rPr>
          <w:rFonts w:ascii="Cambria" w:hAnsi="Cambria" w:cs="Arial"/>
          <w:spacing w:val="-11"/>
          <w:sz w:val="22"/>
          <w:szCs w:val="22"/>
        </w:rPr>
        <w:t xml:space="preserve"> </w:t>
      </w:r>
      <w:r w:rsidRPr="00CD3BAF">
        <w:rPr>
          <w:rFonts w:ascii="Cambria" w:hAnsi="Cambria" w:cs="Arial"/>
          <w:spacing w:val="-2"/>
          <w:sz w:val="22"/>
          <w:szCs w:val="22"/>
        </w:rPr>
        <w:t>department</w:t>
      </w:r>
      <w:r w:rsidRPr="00CD3BAF">
        <w:rPr>
          <w:rFonts w:ascii="Cambria" w:hAnsi="Cambria" w:cs="Arial"/>
          <w:spacing w:val="-10"/>
          <w:sz w:val="22"/>
          <w:szCs w:val="22"/>
        </w:rPr>
        <w:t xml:space="preserve"> </w:t>
      </w:r>
      <w:r w:rsidRPr="00CD3BAF">
        <w:rPr>
          <w:rFonts w:ascii="Cambria" w:hAnsi="Cambria" w:cs="Arial"/>
          <w:spacing w:val="-2"/>
          <w:sz w:val="22"/>
          <w:szCs w:val="22"/>
        </w:rPr>
        <w:t>I</w:t>
      </w:r>
      <w:r w:rsidRPr="00CD3BAF">
        <w:rPr>
          <w:rFonts w:ascii="Cambria" w:hAnsi="Cambria" w:cs="Arial"/>
          <w:spacing w:val="-11"/>
          <w:sz w:val="22"/>
          <w:szCs w:val="22"/>
        </w:rPr>
        <w:t xml:space="preserve"> </w:t>
      </w:r>
      <w:r w:rsidRPr="00CD3BAF">
        <w:rPr>
          <w:rFonts w:ascii="Cambria" w:hAnsi="Cambria" w:cs="Arial"/>
          <w:spacing w:val="-2"/>
          <w:sz w:val="22"/>
          <w:szCs w:val="22"/>
        </w:rPr>
        <w:t>would</w:t>
      </w:r>
      <w:r w:rsidRPr="00CD3BAF">
        <w:rPr>
          <w:rFonts w:ascii="Cambria" w:hAnsi="Cambria" w:cs="Arial"/>
          <w:spacing w:val="-10"/>
          <w:sz w:val="22"/>
          <w:szCs w:val="22"/>
        </w:rPr>
        <w:t xml:space="preserve"> </w:t>
      </w:r>
      <w:r w:rsidRPr="00CD3BAF">
        <w:rPr>
          <w:rFonts w:ascii="Cambria" w:hAnsi="Cambria" w:cs="Arial"/>
          <w:spacing w:val="-2"/>
          <w:sz w:val="22"/>
          <w:szCs w:val="22"/>
        </w:rPr>
        <w:t>be</w:t>
      </w:r>
      <w:r w:rsidRPr="00CD3BAF">
        <w:rPr>
          <w:rFonts w:ascii="Cambria" w:hAnsi="Cambria" w:cs="Arial"/>
          <w:spacing w:val="-10"/>
          <w:sz w:val="22"/>
          <w:szCs w:val="22"/>
        </w:rPr>
        <w:t xml:space="preserve"> </w:t>
      </w:r>
      <w:r w:rsidRPr="00CD3BAF">
        <w:rPr>
          <w:rFonts w:ascii="Cambria" w:hAnsi="Cambria" w:cs="Arial"/>
          <w:spacing w:val="-2"/>
          <w:sz w:val="22"/>
          <w:szCs w:val="22"/>
        </w:rPr>
        <w:t>ashamed</w:t>
      </w:r>
      <w:r w:rsidRPr="00CD3BAF">
        <w:rPr>
          <w:rFonts w:ascii="Cambria" w:hAnsi="Cambria" w:cs="Arial"/>
          <w:spacing w:val="-5"/>
          <w:sz w:val="22"/>
          <w:szCs w:val="22"/>
        </w:rPr>
        <w:t xml:space="preserve"> </w:t>
      </w:r>
      <w:r w:rsidRPr="00CD3BAF">
        <w:rPr>
          <w:rFonts w:ascii="Cambria" w:hAnsi="Cambria" w:cs="Arial"/>
          <w:spacing w:val="-2"/>
          <w:sz w:val="22"/>
          <w:szCs w:val="22"/>
        </w:rPr>
        <w:t xml:space="preserve">(or </w:t>
      </w:r>
      <w:r w:rsidRPr="00CD3BAF">
        <w:rPr>
          <w:rFonts w:ascii="Cambria" w:hAnsi="Cambria" w:cs="Arial"/>
          <w:sz w:val="22"/>
          <w:szCs w:val="22"/>
        </w:rPr>
        <w:t>perhaps too proud is more</w:t>
      </w:r>
      <w:r w:rsidRPr="00CD3BAF">
        <w:rPr>
          <w:rFonts w:ascii="Cambria" w:hAnsi="Cambria" w:cs="Arial"/>
          <w:spacing w:val="-1"/>
          <w:sz w:val="22"/>
          <w:szCs w:val="22"/>
        </w:rPr>
        <w:t xml:space="preserve"> </w:t>
      </w:r>
      <w:r w:rsidRPr="00CD3BAF">
        <w:rPr>
          <w:rFonts w:ascii="Cambria" w:hAnsi="Cambria" w:cs="Arial"/>
          <w:sz w:val="22"/>
          <w:szCs w:val="22"/>
        </w:rPr>
        <w:t xml:space="preserve">accurate) before my </w:t>
      </w:r>
      <w:r w:rsidRPr="00CD3BAF">
        <w:rPr>
          <w:rFonts w:ascii="Cambria" w:hAnsi="Cambria" w:cs="Arial"/>
          <w:spacing w:val="-2"/>
          <w:sz w:val="22"/>
          <w:szCs w:val="22"/>
        </w:rPr>
        <w:t>minister</w:t>
      </w:r>
      <w:r w:rsidRPr="00CD3BAF">
        <w:rPr>
          <w:rFonts w:ascii="Cambria" w:hAnsi="Cambria" w:cs="Arial"/>
          <w:spacing w:val="-11"/>
          <w:sz w:val="22"/>
          <w:szCs w:val="22"/>
        </w:rPr>
        <w:t xml:space="preserve"> </w:t>
      </w:r>
      <w:r w:rsidRPr="00CD3BAF">
        <w:rPr>
          <w:rFonts w:ascii="Cambria" w:hAnsi="Cambria" w:cs="Arial"/>
          <w:spacing w:val="-2"/>
          <w:sz w:val="22"/>
          <w:szCs w:val="22"/>
        </w:rPr>
        <w:t>to</w:t>
      </w:r>
      <w:r w:rsidRPr="00CD3BAF">
        <w:rPr>
          <w:rFonts w:ascii="Cambria" w:hAnsi="Cambria" w:cs="Arial"/>
          <w:spacing w:val="-10"/>
          <w:sz w:val="22"/>
          <w:szCs w:val="22"/>
        </w:rPr>
        <w:t xml:space="preserve"> </w:t>
      </w:r>
      <w:r w:rsidRPr="00CD3BAF">
        <w:rPr>
          <w:rFonts w:ascii="Cambria" w:hAnsi="Cambria" w:cs="Arial"/>
          <w:spacing w:val="-2"/>
          <w:sz w:val="22"/>
          <w:szCs w:val="22"/>
        </w:rPr>
        <w:t>have</w:t>
      </w:r>
      <w:r w:rsidRPr="00CD3BAF">
        <w:rPr>
          <w:rFonts w:ascii="Cambria" w:hAnsi="Cambria" w:cs="Arial"/>
          <w:spacing w:val="-11"/>
          <w:sz w:val="22"/>
          <w:szCs w:val="22"/>
        </w:rPr>
        <w:t xml:space="preserve"> </w:t>
      </w:r>
      <w:r w:rsidRPr="00CD3BAF">
        <w:rPr>
          <w:rFonts w:ascii="Cambria" w:hAnsi="Cambria" w:cs="Arial"/>
          <w:spacing w:val="-2"/>
          <w:sz w:val="22"/>
          <w:szCs w:val="22"/>
        </w:rPr>
        <w:t>to seek</w:t>
      </w:r>
      <w:r w:rsidRPr="00CD3BAF">
        <w:rPr>
          <w:rFonts w:ascii="Cambria" w:hAnsi="Cambria" w:cs="Arial"/>
          <w:spacing w:val="-10"/>
          <w:sz w:val="22"/>
          <w:szCs w:val="22"/>
        </w:rPr>
        <w:t xml:space="preserve"> </w:t>
      </w:r>
      <w:r w:rsidRPr="00CD3BAF">
        <w:rPr>
          <w:rFonts w:ascii="Cambria" w:hAnsi="Cambria" w:cs="Arial"/>
          <w:spacing w:val="-2"/>
          <w:sz w:val="22"/>
          <w:szCs w:val="22"/>
        </w:rPr>
        <w:t>external</w:t>
      </w:r>
      <w:r w:rsidRPr="00CD3BAF">
        <w:rPr>
          <w:rFonts w:ascii="Cambria" w:hAnsi="Cambria" w:cs="Arial"/>
          <w:spacing w:val="1"/>
          <w:sz w:val="22"/>
          <w:szCs w:val="22"/>
        </w:rPr>
        <w:t xml:space="preserve"> </w:t>
      </w:r>
      <w:r w:rsidRPr="00CD3BAF">
        <w:rPr>
          <w:rFonts w:ascii="Cambria" w:hAnsi="Cambria" w:cs="Arial"/>
          <w:spacing w:val="-2"/>
          <w:sz w:val="22"/>
          <w:szCs w:val="22"/>
        </w:rPr>
        <w:t>help</w:t>
      </w:r>
      <w:r w:rsidRPr="00CD3BAF">
        <w:rPr>
          <w:rFonts w:ascii="Cambria" w:hAnsi="Cambria" w:cs="Arial"/>
          <w:spacing w:val="-10"/>
          <w:sz w:val="22"/>
          <w:szCs w:val="22"/>
        </w:rPr>
        <w:t xml:space="preserve"> </w:t>
      </w:r>
      <w:r w:rsidRPr="00CD3BAF">
        <w:rPr>
          <w:rFonts w:ascii="Cambria" w:hAnsi="Cambria" w:cs="Arial"/>
          <w:spacing w:val="-2"/>
          <w:sz w:val="22"/>
          <w:szCs w:val="22"/>
        </w:rPr>
        <w:t>on</w:t>
      </w:r>
      <w:r w:rsidRPr="00CD3BAF">
        <w:rPr>
          <w:rFonts w:ascii="Cambria" w:hAnsi="Cambria" w:cs="Arial"/>
          <w:spacing w:val="-7"/>
          <w:sz w:val="22"/>
          <w:szCs w:val="22"/>
        </w:rPr>
        <w:t xml:space="preserve"> </w:t>
      </w:r>
      <w:r w:rsidRPr="00CD3BAF">
        <w:rPr>
          <w:rFonts w:ascii="Cambria" w:hAnsi="Cambria" w:cs="Arial"/>
          <w:spacing w:val="-2"/>
          <w:sz w:val="22"/>
          <w:szCs w:val="22"/>
        </w:rPr>
        <w:t>anything but</w:t>
      </w:r>
      <w:r w:rsidRPr="00CD3BAF">
        <w:rPr>
          <w:rFonts w:ascii="Cambria" w:hAnsi="Cambria" w:cs="Arial"/>
          <w:spacing w:val="-11"/>
          <w:sz w:val="22"/>
          <w:szCs w:val="22"/>
        </w:rPr>
        <w:t xml:space="preserve"> </w:t>
      </w:r>
      <w:r w:rsidRPr="00CD3BAF">
        <w:rPr>
          <w:rFonts w:ascii="Cambria" w:hAnsi="Cambria" w:cs="Arial"/>
          <w:spacing w:val="-2"/>
          <w:sz w:val="22"/>
          <w:szCs w:val="22"/>
        </w:rPr>
        <w:t>exceptional</w:t>
      </w:r>
      <w:r w:rsidRPr="00CD3BAF">
        <w:rPr>
          <w:rFonts w:ascii="Cambria" w:hAnsi="Cambria" w:cs="Arial"/>
          <w:spacing w:val="-10"/>
          <w:sz w:val="22"/>
          <w:szCs w:val="22"/>
        </w:rPr>
        <w:t xml:space="preserve"> </w:t>
      </w:r>
      <w:r w:rsidRPr="00CD3BAF">
        <w:rPr>
          <w:rFonts w:ascii="Cambria" w:hAnsi="Cambria" w:cs="Arial"/>
          <w:spacing w:val="-2"/>
          <w:sz w:val="22"/>
          <w:szCs w:val="22"/>
        </w:rPr>
        <w:t>matters.</w:t>
      </w:r>
      <w:r w:rsidRPr="00CD3BAF">
        <w:rPr>
          <w:rFonts w:ascii="Cambria" w:hAnsi="Cambria" w:cs="Arial"/>
          <w:spacing w:val="-11"/>
          <w:sz w:val="22"/>
          <w:szCs w:val="22"/>
        </w:rPr>
        <w:t xml:space="preserve"> </w:t>
      </w:r>
      <w:r w:rsidRPr="00CD3BAF">
        <w:rPr>
          <w:rFonts w:ascii="Cambria" w:hAnsi="Cambria" w:cs="Arial"/>
          <w:spacing w:val="-2"/>
          <w:sz w:val="22"/>
          <w:szCs w:val="22"/>
        </w:rPr>
        <w:t>I</w:t>
      </w:r>
      <w:r w:rsidRPr="00CD3BAF">
        <w:rPr>
          <w:rFonts w:ascii="Cambria" w:hAnsi="Cambria" w:cs="Arial"/>
          <w:spacing w:val="-10"/>
          <w:sz w:val="22"/>
          <w:szCs w:val="22"/>
        </w:rPr>
        <w:t xml:space="preserve"> </w:t>
      </w:r>
      <w:r w:rsidRPr="00CD3BAF">
        <w:rPr>
          <w:rFonts w:ascii="Cambria" w:hAnsi="Cambria" w:cs="Arial"/>
          <w:spacing w:val="-2"/>
          <w:sz w:val="22"/>
          <w:szCs w:val="22"/>
        </w:rPr>
        <w:t>should</w:t>
      </w:r>
      <w:r w:rsidRPr="00CD3BAF">
        <w:rPr>
          <w:rFonts w:ascii="Cambria" w:hAnsi="Cambria" w:cs="Arial"/>
          <w:spacing w:val="-6"/>
          <w:sz w:val="22"/>
          <w:szCs w:val="22"/>
        </w:rPr>
        <w:t xml:space="preserve"> </w:t>
      </w:r>
      <w:r w:rsidRPr="00CD3BAF">
        <w:rPr>
          <w:rFonts w:ascii="Cambria" w:hAnsi="Cambria" w:cs="Arial"/>
          <w:spacing w:val="-2"/>
          <w:sz w:val="22"/>
          <w:szCs w:val="22"/>
        </w:rPr>
        <w:t>be</w:t>
      </w:r>
      <w:r w:rsidRPr="00CD3BAF">
        <w:rPr>
          <w:rFonts w:ascii="Cambria" w:hAnsi="Cambria" w:cs="Arial"/>
          <w:spacing w:val="-10"/>
          <w:sz w:val="22"/>
          <w:szCs w:val="22"/>
        </w:rPr>
        <w:t xml:space="preserve"> </w:t>
      </w:r>
      <w:r w:rsidRPr="00CD3BAF">
        <w:rPr>
          <w:rFonts w:ascii="Cambria" w:hAnsi="Cambria" w:cs="Arial"/>
          <w:spacing w:val="-2"/>
          <w:sz w:val="22"/>
          <w:szCs w:val="22"/>
        </w:rPr>
        <w:t>ensuring</w:t>
      </w:r>
      <w:r w:rsidRPr="00CD3BAF">
        <w:rPr>
          <w:rFonts w:ascii="Cambria" w:hAnsi="Cambria" w:cs="Arial"/>
          <w:spacing w:val="-4"/>
          <w:sz w:val="22"/>
          <w:szCs w:val="22"/>
        </w:rPr>
        <w:t xml:space="preserve"> </w:t>
      </w:r>
      <w:r w:rsidRPr="00CD3BAF">
        <w:rPr>
          <w:rFonts w:ascii="Cambria" w:hAnsi="Cambria" w:cs="Arial"/>
          <w:spacing w:val="-2"/>
          <w:sz w:val="22"/>
          <w:szCs w:val="22"/>
        </w:rPr>
        <w:t xml:space="preserve">that </w:t>
      </w:r>
      <w:r w:rsidRPr="00CD3BAF">
        <w:rPr>
          <w:rFonts w:ascii="Cambria" w:hAnsi="Cambria" w:cs="Arial"/>
          <w:sz w:val="22"/>
          <w:szCs w:val="22"/>
        </w:rPr>
        <w:t>I</w:t>
      </w:r>
      <w:r w:rsidRPr="00CD3BAF">
        <w:rPr>
          <w:rFonts w:ascii="Cambria" w:hAnsi="Cambria" w:cs="Arial"/>
          <w:spacing w:val="-13"/>
          <w:sz w:val="22"/>
          <w:szCs w:val="22"/>
        </w:rPr>
        <w:t xml:space="preserve"> </w:t>
      </w:r>
      <w:r w:rsidRPr="00CD3BAF">
        <w:rPr>
          <w:rFonts w:ascii="Cambria" w:hAnsi="Cambria" w:cs="Arial"/>
          <w:sz w:val="22"/>
          <w:szCs w:val="22"/>
        </w:rPr>
        <w:t>have</w:t>
      </w:r>
      <w:r w:rsidRPr="00CD3BAF">
        <w:rPr>
          <w:rFonts w:ascii="Cambria" w:hAnsi="Cambria" w:cs="Arial"/>
          <w:spacing w:val="-11"/>
          <w:sz w:val="22"/>
          <w:szCs w:val="22"/>
        </w:rPr>
        <w:t xml:space="preserve"> </w:t>
      </w:r>
      <w:r w:rsidRPr="00CD3BAF">
        <w:rPr>
          <w:rFonts w:ascii="Cambria" w:hAnsi="Cambria" w:cs="Arial"/>
          <w:sz w:val="22"/>
          <w:szCs w:val="22"/>
        </w:rPr>
        <w:t>high</w:t>
      </w:r>
      <w:r w:rsidRPr="00CD3BAF">
        <w:rPr>
          <w:rFonts w:ascii="Cambria" w:hAnsi="Cambria" w:cs="Arial"/>
          <w:spacing w:val="-12"/>
          <w:sz w:val="22"/>
          <w:szCs w:val="22"/>
        </w:rPr>
        <w:t xml:space="preserve"> </w:t>
      </w:r>
      <w:r w:rsidRPr="00CD3BAF">
        <w:rPr>
          <w:rFonts w:ascii="Cambria" w:hAnsi="Cambria" w:cs="Arial"/>
          <w:sz w:val="22"/>
          <w:szCs w:val="22"/>
        </w:rPr>
        <w:t>quality</w:t>
      </w:r>
      <w:r w:rsidRPr="00CD3BAF">
        <w:rPr>
          <w:rFonts w:ascii="Cambria" w:hAnsi="Cambria" w:cs="Arial"/>
          <w:spacing w:val="-5"/>
          <w:sz w:val="22"/>
          <w:szCs w:val="22"/>
        </w:rPr>
        <w:t xml:space="preserve"> </w:t>
      </w:r>
      <w:r w:rsidRPr="00CD3BAF">
        <w:rPr>
          <w:rFonts w:ascii="Cambria" w:hAnsi="Cambria" w:cs="Arial"/>
          <w:sz w:val="22"/>
          <w:szCs w:val="22"/>
        </w:rPr>
        <w:t>staff</w:t>
      </w:r>
      <w:r w:rsidRPr="00CD3BAF">
        <w:rPr>
          <w:rFonts w:ascii="Cambria" w:hAnsi="Cambria" w:cs="Arial"/>
          <w:spacing w:val="-7"/>
          <w:sz w:val="22"/>
          <w:szCs w:val="22"/>
        </w:rPr>
        <w:t xml:space="preserve"> </w:t>
      </w:r>
      <w:r w:rsidRPr="00CD3BAF">
        <w:rPr>
          <w:rFonts w:ascii="Cambria" w:hAnsi="Cambria" w:cs="Arial"/>
          <w:sz w:val="22"/>
          <w:szCs w:val="22"/>
        </w:rPr>
        <w:t>around</w:t>
      </w:r>
      <w:r w:rsidRPr="00CD3BAF">
        <w:rPr>
          <w:rFonts w:ascii="Cambria" w:hAnsi="Cambria" w:cs="Arial"/>
          <w:spacing w:val="-1"/>
          <w:sz w:val="22"/>
          <w:szCs w:val="22"/>
        </w:rPr>
        <w:t xml:space="preserve"> </w:t>
      </w:r>
      <w:r w:rsidRPr="00CD3BAF">
        <w:rPr>
          <w:rFonts w:ascii="Cambria" w:hAnsi="Cambria" w:cs="Arial"/>
          <w:sz w:val="22"/>
          <w:szCs w:val="22"/>
        </w:rPr>
        <w:t>me</w:t>
      </w:r>
      <w:r w:rsidRPr="00CD3BAF">
        <w:rPr>
          <w:rFonts w:ascii="Cambria" w:hAnsi="Cambria" w:cs="Arial"/>
          <w:spacing w:val="-13"/>
          <w:sz w:val="22"/>
          <w:szCs w:val="22"/>
        </w:rPr>
        <w:t xml:space="preserve"> </w:t>
      </w:r>
      <w:r w:rsidRPr="00CD3BAF">
        <w:rPr>
          <w:rFonts w:ascii="Cambria" w:hAnsi="Cambria" w:cs="Arial"/>
          <w:sz w:val="22"/>
          <w:szCs w:val="22"/>
        </w:rPr>
        <w:t>willing,</w:t>
      </w:r>
      <w:r w:rsidRPr="00CD3BAF">
        <w:rPr>
          <w:rFonts w:ascii="Cambria" w:hAnsi="Cambria" w:cs="Arial"/>
          <w:spacing w:val="-6"/>
          <w:sz w:val="22"/>
          <w:szCs w:val="22"/>
        </w:rPr>
        <w:t xml:space="preserve"> </w:t>
      </w:r>
      <w:r w:rsidRPr="00CD3BAF">
        <w:rPr>
          <w:rFonts w:ascii="Cambria" w:hAnsi="Cambria" w:cs="Arial"/>
          <w:sz w:val="22"/>
          <w:szCs w:val="22"/>
        </w:rPr>
        <w:t xml:space="preserve">able </w:t>
      </w:r>
      <w:r w:rsidRPr="00CD3BAF">
        <w:rPr>
          <w:rFonts w:ascii="Cambria" w:hAnsi="Cambria" w:cs="Arial"/>
          <w:spacing w:val="-2"/>
          <w:sz w:val="22"/>
          <w:szCs w:val="22"/>
        </w:rPr>
        <w:t>and</w:t>
      </w:r>
      <w:r w:rsidRPr="00CD3BAF">
        <w:rPr>
          <w:rFonts w:ascii="Cambria" w:hAnsi="Cambria" w:cs="Arial"/>
          <w:spacing w:val="-11"/>
          <w:sz w:val="22"/>
          <w:szCs w:val="22"/>
        </w:rPr>
        <w:t xml:space="preserve"> </w:t>
      </w:r>
      <w:r w:rsidRPr="00CD3BAF">
        <w:rPr>
          <w:rFonts w:ascii="Cambria" w:hAnsi="Cambria" w:cs="Arial"/>
          <w:spacing w:val="-2"/>
          <w:sz w:val="22"/>
          <w:szCs w:val="22"/>
        </w:rPr>
        <w:t>competent</w:t>
      </w:r>
      <w:r w:rsidRPr="00CD3BAF">
        <w:rPr>
          <w:rFonts w:ascii="Cambria" w:hAnsi="Cambria" w:cs="Arial"/>
          <w:spacing w:val="-10"/>
          <w:sz w:val="22"/>
          <w:szCs w:val="22"/>
        </w:rPr>
        <w:t xml:space="preserve"> </w:t>
      </w:r>
      <w:r w:rsidRPr="00CD3BAF">
        <w:rPr>
          <w:rFonts w:ascii="Cambria" w:hAnsi="Cambria" w:cs="Arial"/>
          <w:spacing w:val="-2"/>
          <w:sz w:val="22"/>
          <w:szCs w:val="22"/>
        </w:rPr>
        <w:t>to</w:t>
      </w:r>
      <w:r w:rsidRPr="00CD3BAF">
        <w:rPr>
          <w:rFonts w:ascii="Cambria" w:hAnsi="Cambria" w:cs="Arial"/>
          <w:spacing w:val="-11"/>
          <w:sz w:val="22"/>
          <w:szCs w:val="22"/>
        </w:rPr>
        <w:t xml:space="preserve"> </w:t>
      </w:r>
      <w:r w:rsidRPr="00CD3BAF">
        <w:rPr>
          <w:rFonts w:ascii="Cambria" w:hAnsi="Cambria" w:cs="Arial"/>
          <w:spacing w:val="-2"/>
          <w:sz w:val="22"/>
          <w:szCs w:val="22"/>
        </w:rPr>
        <w:t>provide</w:t>
      </w:r>
      <w:r w:rsidRPr="00CD3BAF">
        <w:rPr>
          <w:rFonts w:ascii="Cambria" w:hAnsi="Cambria" w:cs="Arial"/>
          <w:spacing w:val="-10"/>
          <w:sz w:val="22"/>
          <w:szCs w:val="22"/>
        </w:rPr>
        <w:t xml:space="preserve"> </w:t>
      </w:r>
      <w:r w:rsidRPr="00CD3BAF">
        <w:rPr>
          <w:rFonts w:ascii="Cambria" w:hAnsi="Cambria" w:cs="Arial"/>
          <w:spacing w:val="-2"/>
          <w:sz w:val="22"/>
          <w:szCs w:val="22"/>
        </w:rPr>
        <w:t>such</w:t>
      </w:r>
      <w:r w:rsidRPr="00CD3BAF">
        <w:rPr>
          <w:rFonts w:ascii="Cambria" w:hAnsi="Cambria" w:cs="Arial"/>
          <w:spacing w:val="-11"/>
          <w:sz w:val="22"/>
          <w:szCs w:val="22"/>
        </w:rPr>
        <w:t xml:space="preserve"> </w:t>
      </w:r>
      <w:r w:rsidRPr="00CD3BAF">
        <w:rPr>
          <w:rFonts w:ascii="Cambria" w:hAnsi="Cambria" w:cs="Arial"/>
          <w:spacing w:val="-2"/>
          <w:sz w:val="22"/>
          <w:szCs w:val="22"/>
        </w:rPr>
        <w:t>advice. Today</w:t>
      </w:r>
      <w:r w:rsidRPr="00CD3BAF">
        <w:rPr>
          <w:rFonts w:ascii="Cambria" w:hAnsi="Cambria" w:cs="Arial"/>
          <w:spacing w:val="-3"/>
          <w:sz w:val="22"/>
          <w:szCs w:val="22"/>
        </w:rPr>
        <w:t xml:space="preserve"> </w:t>
      </w:r>
      <w:r w:rsidRPr="00CD3BAF">
        <w:rPr>
          <w:rFonts w:ascii="Cambria" w:hAnsi="Cambria" w:cs="Arial"/>
          <w:spacing w:val="-2"/>
          <w:sz w:val="22"/>
          <w:szCs w:val="22"/>
        </w:rPr>
        <w:t xml:space="preserve">the </w:t>
      </w:r>
      <w:r w:rsidRPr="00CD3BAF">
        <w:rPr>
          <w:rFonts w:ascii="Cambria" w:hAnsi="Cambria" w:cs="Arial"/>
          <w:sz w:val="22"/>
          <w:szCs w:val="22"/>
        </w:rPr>
        <w:t>public sector is frequently using personnel consultants and hence seems incapable of selecting its own senior staff -</w:t>
      </w:r>
      <w:r w:rsidRPr="00CD3BAF">
        <w:rPr>
          <w:rFonts w:ascii="Cambria" w:hAnsi="Cambria" w:cs="Arial"/>
          <w:spacing w:val="40"/>
          <w:sz w:val="22"/>
          <w:szCs w:val="22"/>
        </w:rPr>
        <w:t xml:space="preserve"> </w:t>
      </w:r>
      <w:r w:rsidRPr="00CD3BAF">
        <w:rPr>
          <w:rFonts w:ascii="Cambria" w:hAnsi="Cambria" w:cs="Arial"/>
          <w:sz w:val="22"/>
          <w:szCs w:val="22"/>
        </w:rPr>
        <w:t>yet we used to have a proud record in respect of personnel practices and procedures. The public sector is now calling on external help</w:t>
      </w:r>
      <w:r w:rsidRPr="00CD3BAF">
        <w:rPr>
          <w:rFonts w:ascii="Cambria" w:hAnsi="Cambria" w:cs="Arial"/>
          <w:spacing w:val="-1"/>
          <w:sz w:val="22"/>
          <w:szCs w:val="22"/>
        </w:rPr>
        <w:t xml:space="preserve"> </w:t>
      </w:r>
      <w:r w:rsidRPr="00CD3BAF">
        <w:rPr>
          <w:rFonts w:ascii="Cambria" w:hAnsi="Cambria" w:cs="Arial"/>
          <w:sz w:val="22"/>
          <w:szCs w:val="22"/>
        </w:rPr>
        <w:t>to……. “</w:t>
      </w:r>
    </w:p>
    <w:p w:rsidR="00BA47F7" w:rsidRPr="00D0606C" w:rsidRDefault="00BA47F7" w:rsidP="00D0606C">
      <w:pPr>
        <w:spacing w:after="0" w:line="240" w:lineRule="auto"/>
        <w:rPr>
          <w:rFonts w:cstheme="minorBidi"/>
          <w:color w:val="000000" w:themeColor="text1"/>
          <w:spacing w:val="-2"/>
          <w:w w:val="90"/>
          <w:sz w:val="18"/>
          <w:szCs w:val="18"/>
        </w:rPr>
      </w:pPr>
      <w:r w:rsidRPr="00D0606C">
        <w:rPr>
          <w:rFonts w:cstheme="minorBidi"/>
          <w:color w:val="000000" w:themeColor="text1"/>
          <w:spacing w:val="-2"/>
          <w:w w:val="90"/>
          <w:sz w:val="18"/>
          <w:szCs w:val="18"/>
        </w:rPr>
        <w:t xml:space="preserve"> Pg 14</w:t>
      </w:r>
    </w:p>
    <w:p w:rsidR="00BA47F7" w:rsidRPr="00CD3BAF" w:rsidRDefault="00BA47F7" w:rsidP="00BA47F7">
      <w:pPr>
        <w:ind w:left="720"/>
        <w:rPr>
          <w:rFonts w:ascii="Cambria" w:eastAsia="Times New Roman" w:hAnsi="Cambria"/>
          <w:sz w:val="22"/>
          <w:szCs w:val="22"/>
        </w:rPr>
      </w:pPr>
      <w:r w:rsidRPr="00CD3BAF">
        <w:rPr>
          <w:rFonts w:ascii="Cambria" w:hAnsi="Cambria"/>
          <w:sz w:val="22"/>
          <w:szCs w:val="22"/>
        </w:rPr>
        <w:t xml:space="preserve">“First, I was very fortunate because of the personality of the Premier from 1976 to 1986 Neville Wran - a man with personal charm, of great intellect, of extraordinary ability, a superb politician, one who constantly   demanded excellence. </w:t>
      </w:r>
      <w:r w:rsidRPr="00CD3BAF">
        <w:rPr>
          <w:rFonts w:ascii="Cambria" w:hAnsi="Cambria"/>
          <w:b/>
          <w:sz w:val="22"/>
          <w:szCs w:val="22"/>
        </w:rPr>
        <w:t>He trusted me, he had confidence in me and he defended me frequently</w:t>
      </w:r>
      <w:r w:rsidRPr="00CD3BAF">
        <w:rPr>
          <w:rFonts w:ascii="Cambria" w:hAnsi="Cambria"/>
          <w:sz w:val="22"/>
          <w:szCs w:val="22"/>
        </w:rPr>
        <w:t>. That relationship in itself provided great personal satisfaction. </w:t>
      </w:r>
    </w:p>
    <w:p w:rsidR="00BA47F7" w:rsidRPr="00CD3BAF" w:rsidRDefault="00BA47F7" w:rsidP="00BA47F7">
      <w:pPr>
        <w:ind w:left="720"/>
        <w:rPr>
          <w:rFonts w:ascii="Cambria" w:hAnsi="Cambria"/>
          <w:b/>
          <w:spacing w:val="-2"/>
          <w:w w:val="90"/>
          <w:sz w:val="22"/>
          <w:szCs w:val="22"/>
        </w:rPr>
      </w:pPr>
      <w:r w:rsidRPr="00CD3BAF">
        <w:rPr>
          <w:rFonts w:ascii="Cambria" w:hAnsi="Cambria"/>
          <w:b/>
          <w:sz w:val="22"/>
          <w:szCs w:val="22"/>
        </w:rPr>
        <w:t>Then what stood out was the satisfaction about the quality of the policy advice and management service given to the Premier and cabinet by my department</w:t>
      </w:r>
      <w:r w:rsidRPr="00CD3BAF">
        <w:rPr>
          <w:rFonts w:ascii="Cambria" w:hAnsi="Cambria"/>
          <w:sz w:val="22"/>
          <w:szCs w:val="22"/>
        </w:rPr>
        <w:t>.”</w:t>
      </w:r>
    </w:p>
    <w:p w:rsidR="00BA47F7" w:rsidRPr="00B23DC3" w:rsidRDefault="00BA47F7" w:rsidP="00BA47F7">
      <w:pPr>
        <w:spacing w:line="240" w:lineRule="auto"/>
        <w:rPr>
          <w:rFonts w:cs="Arial"/>
          <w:iCs/>
          <w:color w:val="000000"/>
        </w:rPr>
      </w:pPr>
      <w:r w:rsidRPr="00B23DC3">
        <w:rPr>
          <w:rFonts w:cs="Arial"/>
          <w:iCs/>
          <w:color w:val="000000"/>
        </w:rPr>
        <w:t xml:space="preserve">My father, Thomas Edward Johnston, worked for the PMG (now </w:t>
      </w:r>
      <w:r w:rsidR="00BF2FD3">
        <w:rPr>
          <w:rFonts w:cs="Arial"/>
          <w:iCs/>
          <w:color w:val="000000"/>
        </w:rPr>
        <w:t xml:space="preserve">after privatisation </w:t>
      </w:r>
      <w:r w:rsidRPr="00B23DC3">
        <w:rPr>
          <w:rFonts w:cs="Arial"/>
          <w:iCs/>
          <w:color w:val="000000"/>
        </w:rPr>
        <w:t>known as Telstra) for 43 years</w:t>
      </w:r>
      <w:r w:rsidR="00CD3BAF" w:rsidRPr="00B23DC3">
        <w:rPr>
          <w:rFonts w:cs="Arial"/>
          <w:iCs/>
          <w:color w:val="000000"/>
        </w:rPr>
        <w:t>, retiring in the early 1980s</w:t>
      </w:r>
      <w:r w:rsidRPr="00B23DC3">
        <w:rPr>
          <w:rFonts w:cs="Arial"/>
          <w:iCs/>
          <w:color w:val="000000"/>
        </w:rPr>
        <w:t xml:space="preserve">.  The commitment to always serve to the absolute best of his ability was palpable, not just within him, but amongst fellow PMG employees.  With three young children my father took time off work to study and attain an Electrical Engineering degree from NSW University that </w:t>
      </w:r>
      <w:r w:rsidR="00D0606C">
        <w:rPr>
          <w:rFonts w:cs="Arial"/>
          <w:iCs/>
          <w:color w:val="000000"/>
        </w:rPr>
        <w:t>enhanced</w:t>
      </w:r>
      <w:r w:rsidRPr="00B23DC3">
        <w:rPr>
          <w:rFonts w:cs="Arial"/>
          <w:iCs/>
          <w:color w:val="000000"/>
        </w:rPr>
        <w:t xml:space="preserve"> his </w:t>
      </w:r>
      <w:r w:rsidR="00CD3BAF" w:rsidRPr="00B23DC3">
        <w:rPr>
          <w:rFonts w:cs="Arial"/>
          <w:iCs/>
          <w:color w:val="000000"/>
        </w:rPr>
        <w:t>responsibilities</w:t>
      </w:r>
      <w:r w:rsidRPr="00B23DC3">
        <w:rPr>
          <w:rFonts w:cs="Arial"/>
          <w:iCs/>
          <w:color w:val="000000"/>
        </w:rPr>
        <w:t xml:space="preserve">. </w:t>
      </w:r>
      <w:r w:rsidR="00CD3BAF" w:rsidRPr="00B23DC3">
        <w:rPr>
          <w:rFonts w:cs="Arial"/>
          <w:iCs/>
          <w:color w:val="000000"/>
        </w:rPr>
        <w:t>That was back in an era before scholarships and cadetships.  Hence our family tightened its belt</w:t>
      </w:r>
      <w:r w:rsidR="00BF2FD3">
        <w:rPr>
          <w:rFonts w:cs="Arial"/>
          <w:iCs/>
          <w:color w:val="000000"/>
        </w:rPr>
        <w:t xml:space="preserve"> for a few years</w:t>
      </w:r>
      <w:r w:rsidR="00CD3BAF" w:rsidRPr="00B23DC3">
        <w:rPr>
          <w:rFonts w:cs="Arial"/>
          <w:iCs/>
          <w:color w:val="000000"/>
        </w:rPr>
        <w:t xml:space="preserve">.  </w:t>
      </w:r>
      <w:r w:rsidRPr="00B23DC3">
        <w:rPr>
          <w:rFonts w:cs="Arial"/>
          <w:iCs/>
          <w:color w:val="000000"/>
        </w:rPr>
        <w:t xml:space="preserve"> </w:t>
      </w:r>
      <w:hyperlink r:id="rId9" w:history="1">
        <w:r w:rsidRPr="00B23DC3">
          <w:rPr>
            <w:rStyle w:val="Hyperlink"/>
            <w:rFonts w:cs="Arial"/>
            <w:b/>
            <w:iCs/>
          </w:rPr>
          <w:t>A colleague in the PMG was Jack Black who was one of the most successful contestants on the popular BP ‘Pick A Box’ mental knowledge program hosted by Bob Dyer</w:t>
        </w:r>
      </w:hyperlink>
      <w:r w:rsidRPr="00B23DC3">
        <w:rPr>
          <w:rFonts w:cs="Arial"/>
          <w:iCs/>
          <w:color w:val="000000"/>
        </w:rPr>
        <w:t>.  The PMG at least ‘til the mid-1980s possessed a wealth of loyal and committed employees who generally signed-up for life</w:t>
      </w:r>
      <w:r w:rsidR="00CD3BAF" w:rsidRPr="00B23DC3">
        <w:rPr>
          <w:rFonts w:cs="Arial"/>
          <w:iCs/>
          <w:color w:val="000000"/>
        </w:rPr>
        <w:t xml:space="preserve"> and were</w:t>
      </w:r>
      <w:r w:rsidR="00BF2FD3">
        <w:rPr>
          <w:rFonts w:cs="Arial"/>
          <w:iCs/>
          <w:color w:val="000000"/>
        </w:rPr>
        <w:t xml:space="preserve"> habitually</w:t>
      </w:r>
      <w:r w:rsidR="00CD3BAF" w:rsidRPr="00B23DC3">
        <w:rPr>
          <w:rFonts w:cs="Arial"/>
          <w:iCs/>
          <w:color w:val="000000"/>
        </w:rPr>
        <w:t xml:space="preserve"> ‘</w:t>
      </w:r>
      <w:r w:rsidR="00CD3BAF" w:rsidRPr="00B23DC3">
        <w:rPr>
          <w:rFonts w:cs="Arial"/>
          <w:i/>
          <w:iCs/>
          <w:color w:val="000000"/>
        </w:rPr>
        <w:t>loyal to the core</w:t>
      </w:r>
      <w:r w:rsidR="00CD3BAF" w:rsidRPr="00B23DC3">
        <w:rPr>
          <w:rFonts w:cs="Arial"/>
          <w:iCs/>
          <w:color w:val="000000"/>
        </w:rPr>
        <w:t>’.</w:t>
      </w:r>
    </w:p>
    <w:p w:rsidR="00470AFD" w:rsidRDefault="00BA47F7" w:rsidP="00470AFD">
      <w:pPr>
        <w:spacing w:line="240" w:lineRule="auto"/>
        <w:rPr>
          <w:rFonts w:cs="Arial"/>
          <w:iCs/>
          <w:color w:val="000000"/>
        </w:rPr>
      </w:pPr>
      <w:r w:rsidRPr="00B23DC3">
        <w:rPr>
          <w:rFonts w:cs="Arial"/>
          <w:iCs/>
          <w:color w:val="000000"/>
        </w:rPr>
        <w:t>ABC</w:t>
      </w:r>
      <w:r w:rsidRPr="00B23DC3">
        <w:rPr>
          <w:rFonts w:cs="Arial"/>
          <w:i/>
          <w:iCs/>
          <w:color w:val="000000"/>
        </w:rPr>
        <w:t xml:space="preserve"> ‘Four Corners’ </w:t>
      </w:r>
      <w:r w:rsidRPr="00B23DC3">
        <w:rPr>
          <w:rFonts w:cs="Arial"/>
          <w:iCs/>
          <w:color w:val="000000"/>
        </w:rPr>
        <w:t>recent program</w:t>
      </w:r>
      <w:r w:rsidRPr="00B23DC3">
        <w:rPr>
          <w:rFonts w:cs="Arial"/>
          <w:i/>
          <w:iCs/>
          <w:color w:val="000000"/>
        </w:rPr>
        <w:t xml:space="preserve"> “</w:t>
      </w:r>
      <w:hyperlink r:id="rId10" w:history="1">
        <w:r w:rsidRPr="00B23DC3">
          <w:rPr>
            <w:rStyle w:val="Hyperlink"/>
            <w:rFonts w:cs="Arial"/>
            <w:b/>
            <w:iCs/>
            <w:u w:val="none"/>
          </w:rPr>
          <w:t>Shadow State: How consultants infiltrated government</w:t>
        </w:r>
      </w:hyperlink>
      <w:r w:rsidRPr="00B23DC3">
        <w:rPr>
          <w:rFonts w:cs="Arial"/>
          <w:i/>
          <w:iCs/>
          <w:color w:val="000000"/>
        </w:rPr>
        <w:t xml:space="preserve">” </w:t>
      </w:r>
      <w:r w:rsidRPr="00B23DC3">
        <w:rPr>
          <w:rFonts w:cs="Arial"/>
          <w:iCs/>
          <w:color w:val="000000"/>
        </w:rPr>
        <w:t xml:space="preserve">focused on </w:t>
      </w:r>
      <w:r w:rsidRPr="00B23DC3">
        <w:rPr>
          <w:rFonts w:cs="Arial"/>
          <w:i/>
          <w:iCs/>
          <w:color w:val="000000"/>
        </w:rPr>
        <w:t>The Big Four</w:t>
      </w:r>
      <w:r w:rsidRPr="00B23DC3">
        <w:rPr>
          <w:rFonts w:cs="Arial"/>
          <w:iCs/>
          <w:color w:val="000000"/>
        </w:rPr>
        <w:t xml:space="preserve"> accounting</w:t>
      </w:r>
      <w:r w:rsidR="000F774C">
        <w:rPr>
          <w:rFonts w:cs="Arial"/>
          <w:iCs/>
          <w:color w:val="000000"/>
        </w:rPr>
        <w:t>/audit</w:t>
      </w:r>
      <w:r w:rsidRPr="00B23DC3">
        <w:rPr>
          <w:rFonts w:cs="Arial"/>
          <w:iCs/>
          <w:color w:val="000000"/>
        </w:rPr>
        <w:t xml:space="preserve"> firms consulting for government departments </w:t>
      </w:r>
      <w:r w:rsidR="00CD3BAF" w:rsidRPr="00B23DC3">
        <w:rPr>
          <w:rFonts w:cs="Arial"/>
          <w:iCs/>
          <w:color w:val="000000"/>
        </w:rPr>
        <w:t xml:space="preserve">and </w:t>
      </w:r>
      <w:r w:rsidRPr="00B23DC3">
        <w:rPr>
          <w:rFonts w:cs="Arial"/>
          <w:iCs/>
          <w:color w:val="000000"/>
        </w:rPr>
        <w:t xml:space="preserve">costing the taxpayer billions of dollars each year, with little transparency and almost no accountability.  PwC has </w:t>
      </w:r>
      <w:r w:rsidR="00B23DC3">
        <w:rPr>
          <w:rFonts w:cs="Arial"/>
          <w:iCs/>
          <w:color w:val="000000"/>
        </w:rPr>
        <w:t xml:space="preserve">recently </w:t>
      </w:r>
      <w:r w:rsidRPr="00B23DC3">
        <w:rPr>
          <w:rFonts w:cs="Arial"/>
          <w:iCs/>
          <w:color w:val="000000"/>
        </w:rPr>
        <w:t xml:space="preserve">attracted </w:t>
      </w:r>
      <w:r w:rsidR="00B23DC3">
        <w:rPr>
          <w:rFonts w:cs="Arial"/>
          <w:iCs/>
          <w:color w:val="000000"/>
        </w:rPr>
        <w:t xml:space="preserve">damaging </w:t>
      </w:r>
      <w:r w:rsidRPr="00B23DC3">
        <w:rPr>
          <w:rFonts w:cs="Arial"/>
          <w:iCs/>
          <w:color w:val="000000"/>
        </w:rPr>
        <w:t xml:space="preserve">headlines over its use of confidential government information to help its clients avoid tax.  </w:t>
      </w:r>
      <w:r w:rsidRPr="00B23DC3">
        <w:rPr>
          <w:rFonts w:cs="Arial"/>
          <w:i/>
          <w:iCs/>
          <w:color w:val="000000"/>
        </w:rPr>
        <w:t>Four</w:t>
      </w:r>
      <w:r w:rsidR="00B23DC3">
        <w:rPr>
          <w:rFonts w:cs="Arial"/>
          <w:i/>
          <w:iCs/>
          <w:color w:val="000000"/>
        </w:rPr>
        <w:t> </w:t>
      </w:r>
      <w:r w:rsidRPr="00B23DC3">
        <w:rPr>
          <w:rFonts w:cs="Arial"/>
          <w:i/>
          <w:iCs/>
          <w:color w:val="000000"/>
        </w:rPr>
        <w:t>Corners</w:t>
      </w:r>
      <w:r w:rsidRPr="00B23DC3">
        <w:rPr>
          <w:rFonts w:cs="Arial"/>
          <w:iCs/>
          <w:color w:val="000000"/>
        </w:rPr>
        <w:t xml:space="preserve"> revealed unacceptable practices by one of Canberra's biggest players: KPMG.  Through forensic examination and whistleblower accounts, the program revealed KPMG has faced accusations of repeatedly "wasting" public money while contracted by the Depart</w:t>
      </w:r>
      <w:r w:rsidR="00B23DC3">
        <w:rPr>
          <w:rFonts w:cs="Arial"/>
          <w:iCs/>
          <w:color w:val="000000"/>
        </w:rPr>
        <w:t>.</w:t>
      </w:r>
      <w:r w:rsidRPr="00B23DC3">
        <w:rPr>
          <w:rFonts w:cs="Arial"/>
          <w:iCs/>
          <w:color w:val="000000"/>
        </w:rPr>
        <w:t xml:space="preserve"> of Defence.  The investigation also revealed controversies and conflicts of interest in other firms like Deloitte, Accenture and PwC.</w:t>
      </w:r>
    </w:p>
    <w:p w:rsidR="00BA47F7" w:rsidRPr="00B23DC3" w:rsidRDefault="00BA47F7" w:rsidP="00470AFD">
      <w:pPr>
        <w:spacing w:line="240" w:lineRule="auto"/>
        <w:rPr>
          <w:rFonts w:cs="Arial"/>
          <w:iCs/>
          <w:color w:val="000000"/>
        </w:rPr>
      </w:pPr>
      <w:r w:rsidRPr="00B23DC3">
        <w:rPr>
          <w:rFonts w:cs="Arial"/>
          <w:i/>
          <w:iCs/>
          <w:color w:val="000000"/>
        </w:rPr>
        <w:t>Prima facie</w:t>
      </w:r>
      <w:r w:rsidRPr="00B23DC3">
        <w:rPr>
          <w:rFonts w:cs="Arial"/>
          <w:iCs/>
          <w:color w:val="000000"/>
        </w:rPr>
        <w:t>, since the turn of the century the aforementioned loyal, skillful and committed public</w:t>
      </w:r>
      <w:r w:rsidR="00CD3BAF" w:rsidRPr="00B23DC3">
        <w:rPr>
          <w:rFonts w:cs="Arial"/>
          <w:iCs/>
          <w:color w:val="000000"/>
        </w:rPr>
        <w:t> </w:t>
      </w:r>
      <w:r w:rsidRPr="00B23DC3">
        <w:rPr>
          <w:rFonts w:cs="Arial"/>
          <w:iCs/>
          <w:color w:val="000000"/>
        </w:rPr>
        <w:t>serv</w:t>
      </w:r>
      <w:r w:rsidR="008C309E">
        <w:rPr>
          <w:rFonts w:cs="Arial"/>
          <w:iCs/>
          <w:color w:val="000000"/>
        </w:rPr>
        <w:t>ice</w:t>
      </w:r>
      <w:r w:rsidR="00DC6EE7">
        <w:rPr>
          <w:rFonts w:cs="Arial"/>
          <w:iCs/>
          <w:color w:val="000000"/>
        </w:rPr>
        <w:t>, both at State and Commonwealth levels,</w:t>
      </w:r>
      <w:r w:rsidRPr="00B23DC3">
        <w:rPr>
          <w:rFonts w:cs="Arial"/>
          <w:iCs/>
          <w:color w:val="000000"/>
        </w:rPr>
        <w:t xml:space="preserve"> ha</w:t>
      </w:r>
      <w:r w:rsidR="008C309E">
        <w:rPr>
          <w:rFonts w:cs="Arial"/>
          <w:iCs/>
          <w:color w:val="000000"/>
        </w:rPr>
        <w:t>s</w:t>
      </w:r>
      <w:r w:rsidRPr="00B23DC3">
        <w:rPr>
          <w:rFonts w:cs="Arial"/>
          <w:iCs/>
          <w:color w:val="000000"/>
        </w:rPr>
        <w:t xml:space="preserve"> eroded, ostensibly because politicians and senior bureaucrats lost sight of the</w:t>
      </w:r>
      <w:r w:rsidR="00B23DC3">
        <w:rPr>
          <w:rFonts w:cs="Arial"/>
          <w:iCs/>
          <w:color w:val="000000"/>
        </w:rPr>
        <w:t xml:space="preserve"> substantive</w:t>
      </w:r>
      <w:r w:rsidRPr="00B23DC3">
        <w:rPr>
          <w:rFonts w:cs="Arial"/>
          <w:iCs/>
          <w:color w:val="000000"/>
        </w:rPr>
        <w:t xml:space="preserve"> </w:t>
      </w:r>
      <w:r w:rsidR="00B23DC3">
        <w:rPr>
          <w:rFonts w:cs="Arial"/>
          <w:iCs/>
          <w:color w:val="000000"/>
        </w:rPr>
        <w:t>‘</w:t>
      </w:r>
      <w:r w:rsidRPr="00B23DC3">
        <w:rPr>
          <w:rFonts w:cs="Arial"/>
          <w:i/>
          <w:iCs/>
          <w:color w:val="000000"/>
        </w:rPr>
        <w:t>economies of scale</w:t>
      </w:r>
      <w:r w:rsidR="00B23DC3">
        <w:rPr>
          <w:rFonts w:cs="Arial"/>
          <w:iCs/>
          <w:color w:val="000000"/>
        </w:rPr>
        <w:t>’</w:t>
      </w:r>
      <w:r w:rsidRPr="00B23DC3">
        <w:rPr>
          <w:rFonts w:cs="Arial"/>
          <w:iCs/>
          <w:color w:val="000000"/>
        </w:rPr>
        <w:t xml:space="preserve"> attainable </w:t>
      </w:r>
      <w:r w:rsidRPr="00B23DC3">
        <w:rPr>
          <w:rFonts w:cs="Arial"/>
          <w:iCs/>
          <w:color w:val="000000"/>
        </w:rPr>
        <w:lastRenderedPageBreak/>
        <w:t xml:space="preserve">from </w:t>
      </w:r>
      <w:r w:rsidR="00CD3BAF" w:rsidRPr="00B23DC3">
        <w:rPr>
          <w:rFonts w:cs="Arial"/>
          <w:iCs/>
          <w:color w:val="000000"/>
        </w:rPr>
        <w:t xml:space="preserve">sourcing </w:t>
      </w:r>
      <w:r w:rsidRPr="00B23DC3">
        <w:rPr>
          <w:rFonts w:cs="Arial"/>
          <w:iCs/>
          <w:color w:val="000000"/>
        </w:rPr>
        <w:t>intelligent</w:t>
      </w:r>
      <w:r w:rsidR="002660F0">
        <w:rPr>
          <w:rFonts w:cs="Arial"/>
          <w:iCs/>
          <w:color w:val="000000"/>
        </w:rPr>
        <w:t>, educated</w:t>
      </w:r>
      <w:r w:rsidRPr="00B23DC3">
        <w:rPr>
          <w:rFonts w:cs="Arial"/>
          <w:iCs/>
          <w:color w:val="000000"/>
        </w:rPr>
        <w:t xml:space="preserve">, skillful Australians </w:t>
      </w:r>
      <w:r w:rsidR="002660F0" w:rsidRPr="002660F0">
        <w:rPr>
          <w:rFonts w:cs="Arial"/>
          <w:i/>
          <w:iCs/>
          <w:color w:val="000000"/>
        </w:rPr>
        <w:t>with a bent towards</w:t>
      </w:r>
      <w:r w:rsidR="002660F0">
        <w:rPr>
          <w:rFonts w:cs="Arial"/>
          <w:iCs/>
          <w:color w:val="000000"/>
        </w:rPr>
        <w:t xml:space="preserve"> </w:t>
      </w:r>
      <w:r w:rsidRPr="00B23DC3">
        <w:rPr>
          <w:rFonts w:cs="Arial"/>
          <w:iCs/>
          <w:color w:val="000000"/>
        </w:rPr>
        <w:t>serv</w:t>
      </w:r>
      <w:r w:rsidR="002660F0">
        <w:rPr>
          <w:rFonts w:cs="Arial"/>
          <w:iCs/>
          <w:color w:val="000000"/>
        </w:rPr>
        <w:t>ing</w:t>
      </w:r>
      <w:r w:rsidRPr="00B23DC3">
        <w:rPr>
          <w:rFonts w:cs="Arial"/>
          <w:iCs/>
          <w:color w:val="000000"/>
        </w:rPr>
        <w:t xml:space="preserve"> the community</w:t>
      </w:r>
      <w:r w:rsidR="00CD3BAF" w:rsidRPr="00B23DC3">
        <w:rPr>
          <w:rFonts w:cs="Arial"/>
          <w:iCs/>
          <w:color w:val="000000"/>
        </w:rPr>
        <w:t xml:space="preserve">; Australians where the size of the pay-packet </w:t>
      </w:r>
      <w:r w:rsidR="00CD3BAF" w:rsidRPr="00B23DC3">
        <w:rPr>
          <w:rFonts w:cs="Arial"/>
          <w:i/>
          <w:iCs/>
          <w:color w:val="000000"/>
        </w:rPr>
        <w:t>is not the be all and end all</w:t>
      </w:r>
      <w:r w:rsidR="00CD3BAF" w:rsidRPr="00B23DC3">
        <w:rPr>
          <w:rFonts w:cs="Arial"/>
          <w:iCs/>
          <w:color w:val="000000"/>
        </w:rPr>
        <w:t>.</w:t>
      </w:r>
      <w:r w:rsidR="00DC6EE7">
        <w:rPr>
          <w:rFonts w:cs="Arial"/>
          <w:iCs/>
          <w:color w:val="000000"/>
        </w:rPr>
        <w:t xml:space="preserve">  Those committed Australians existed 40 years ago.  </w:t>
      </w:r>
      <w:r w:rsidR="00DC6EE7" w:rsidRPr="00DC6EE7">
        <w:rPr>
          <w:rFonts w:cs="Arial"/>
          <w:iCs/>
          <w:color w:val="000000"/>
        </w:rPr>
        <w:t>The next generation is still out there</w:t>
      </w:r>
      <w:r w:rsidR="00DC6EE7">
        <w:rPr>
          <w:rFonts w:cs="Arial"/>
          <w:iCs/>
          <w:color w:val="000000"/>
        </w:rPr>
        <w:t xml:space="preserve">.  But it takes astute leadership </w:t>
      </w:r>
      <w:r w:rsidR="002660F0">
        <w:rPr>
          <w:rFonts w:cs="Arial"/>
          <w:iCs/>
          <w:color w:val="000000"/>
        </w:rPr>
        <w:t xml:space="preserve">and management skills </w:t>
      </w:r>
      <w:r w:rsidR="00DC6EE7">
        <w:rPr>
          <w:rFonts w:cs="Arial"/>
          <w:iCs/>
          <w:color w:val="000000"/>
        </w:rPr>
        <w:t xml:space="preserve">to source and administer </w:t>
      </w:r>
      <w:r w:rsidR="002660F0">
        <w:rPr>
          <w:rFonts w:cs="Arial"/>
          <w:iCs/>
          <w:color w:val="000000"/>
        </w:rPr>
        <w:t>such human resources</w:t>
      </w:r>
      <w:r w:rsidR="00DC6EE7">
        <w:rPr>
          <w:rFonts w:cs="Arial"/>
          <w:iCs/>
          <w:color w:val="000000"/>
        </w:rPr>
        <w:t>.</w:t>
      </w:r>
    </w:p>
    <w:p w:rsidR="00DC3489" w:rsidRDefault="00124155" w:rsidP="00DC3489">
      <w:pPr>
        <w:rPr>
          <w:rFonts w:cs="Arial"/>
        </w:rPr>
      </w:pPr>
      <w:r w:rsidRPr="00B23DC3">
        <w:rPr>
          <w:rFonts w:cs="Arial"/>
          <w:color w:val="000000"/>
        </w:rPr>
        <w:t xml:space="preserve">Seemingly in more modern times the pertinent Minister appoints the Head of the </w:t>
      </w:r>
      <w:r w:rsidR="002660F0" w:rsidRPr="00B23DC3">
        <w:rPr>
          <w:rFonts w:cs="Arial"/>
          <w:color w:val="000000"/>
        </w:rPr>
        <w:t>Department</w:t>
      </w:r>
      <w:r w:rsidR="002660F0">
        <w:rPr>
          <w:rFonts w:cs="Arial"/>
          <w:color w:val="000000"/>
        </w:rPr>
        <w:t>/A</w:t>
      </w:r>
      <w:r w:rsidRPr="00B23DC3">
        <w:rPr>
          <w:rFonts w:cs="Arial"/>
          <w:color w:val="000000"/>
        </w:rPr>
        <w:t xml:space="preserve">gency s/he is responsible for.  That </w:t>
      </w:r>
      <w:r w:rsidR="00BF2FD3">
        <w:rPr>
          <w:rFonts w:cs="Arial"/>
          <w:color w:val="000000"/>
        </w:rPr>
        <w:t>p</w:t>
      </w:r>
      <w:r w:rsidRPr="00B23DC3">
        <w:rPr>
          <w:rFonts w:cs="Arial"/>
          <w:color w:val="000000"/>
        </w:rPr>
        <w:t xml:space="preserve">ractice appears in violation of the </w:t>
      </w:r>
      <w:r w:rsidR="00DC3489">
        <w:rPr>
          <w:rFonts w:cs="Arial"/>
          <w:color w:val="000000"/>
        </w:rPr>
        <w:br/>
      </w:r>
      <w:hyperlink r:id="rId11" w:history="1">
        <w:r w:rsidR="00B23DC3" w:rsidRPr="00B23DC3">
          <w:rPr>
            <w:rStyle w:val="Hyperlink"/>
            <w:rFonts w:cs="Arial"/>
            <w:b/>
            <w:bCs/>
          </w:rPr>
          <w:t>Values and Code of Conduct in Practice for the Aust Public Service</w:t>
        </w:r>
      </w:hyperlink>
      <w:r w:rsidR="00B23DC3">
        <w:rPr>
          <w:rFonts w:cs="Arial"/>
          <w:b/>
          <w:bCs/>
        </w:rPr>
        <w:t xml:space="preserve"> </w:t>
      </w:r>
      <w:r w:rsidR="00B23DC3" w:rsidRPr="00B23DC3">
        <w:t>and comparable code</w:t>
      </w:r>
      <w:r w:rsidR="008C309E">
        <w:t>s</w:t>
      </w:r>
      <w:r w:rsidR="00B23DC3" w:rsidRPr="00B23DC3">
        <w:t xml:space="preserve"> of behaviour within State Govts</w:t>
      </w:r>
      <w:r w:rsidR="00A91F6D">
        <w:t xml:space="preserve"> legislation</w:t>
      </w:r>
      <w:r w:rsidR="00B23DC3" w:rsidRPr="00B23DC3">
        <w:t>.</w:t>
      </w:r>
      <w:r w:rsidR="002660F0">
        <w:t xml:space="preserve">  </w:t>
      </w:r>
      <w:r w:rsidR="00A91F6D">
        <w:t>Invariably l</w:t>
      </w:r>
      <w:r w:rsidR="002660F0">
        <w:t xml:space="preserve">ast century the </w:t>
      </w:r>
      <w:r w:rsidR="00A91F6D">
        <w:br/>
      </w:r>
      <w:r w:rsidR="002660F0">
        <w:t xml:space="preserve">Heads of Commonwealth and State Govt. Departments </w:t>
      </w:r>
      <w:r w:rsidR="006A7B57">
        <w:t>had been employed within their department for at least 10 years.  They therefore knew the skillset of their immediate subordinates and</w:t>
      </w:r>
      <w:r w:rsidR="00470AFD">
        <w:t xml:space="preserve"> habitually </w:t>
      </w:r>
      <w:r w:rsidR="006A7B57">
        <w:rPr>
          <w:i/>
        </w:rPr>
        <w:t>gave </w:t>
      </w:r>
      <w:r w:rsidR="002660F0" w:rsidRPr="002660F0">
        <w:rPr>
          <w:i/>
        </w:rPr>
        <w:t>rank</w:t>
      </w:r>
      <w:r w:rsidR="006A7B57">
        <w:rPr>
          <w:i/>
        </w:rPr>
        <w:t> </w:t>
      </w:r>
      <w:r w:rsidR="002660F0" w:rsidRPr="002660F0">
        <w:rPr>
          <w:i/>
        </w:rPr>
        <w:t>and</w:t>
      </w:r>
      <w:r w:rsidR="006A7B57">
        <w:rPr>
          <w:i/>
        </w:rPr>
        <w:t> </w:t>
      </w:r>
      <w:r w:rsidR="002660F0" w:rsidRPr="002660F0">
        <w:rPr>
          <w:i/>
        </w:rPr>
        <w:t>fearless</w:t>
      </w:r>
      <w:r w:rsidR="006A7B57">
        <w:rPr>
          <w:i/>
        </w:rPr>
        <w:t> </w:t>
      </w:r>
      <w:r w:rsidR="002660F0" w:rsidRPr="002660F0">
        <w:rPr>
          <w:i/>
        </w:rPr>
        <w:t xml:space="preserve">advice </w:t>
      </w:r>
      <w:r w:rsidR="002660F0">
        <w:t>to their respective Minister.</w:t>
      </w:r>
    </w:p>
    <w:p w:rsidR="004E1602" w:rsidRDefault="00B23DC3" w:rsidP="00AB2841">
      <w:pPr>
        <w:spacing w:after="0"/>
        <w:rPr>
          <w:rFonts w:cs="Arial"/>
        </w:rPr>
      </w:pPr>
      <w:r w:rsidRPr="00B23DC3">
        <w:rPr>
          <w:rFonts w:cs="Arial"/>
        </w:rPr>
        <w:t>4</w:t>
      </w:r>
      <w:r w:rsidRPr="00B23DC3">
        <w:rPr>
          <w:rFonts w:cs="Arial"/>
          <w:vertAlign w:val="superscript"/>
        </w:rPr>
        <w:t>th</w:t>
      </w:r>
      <w:r w:rsidRPr="00B23DC3">
        <w:rPr>
          <w:rFonts w:cs="Arial"/>
        </w:rPr>
        <w:t xml:space="preserve"> </w:t>
      </w:r>
      <w:r w:rsidR="004E1602" w:rsidRPr="00B23DC3">
        <w:rPr>
          <w:rFonts w:cs="Arial"/>
        </w:rPr>
        <w:t xml:space="preserve">Attachment contains three pages </w:t>
      </w:r>
      <w:r w:rsidR="004E1602" w:rsidRPr="006A7B57">
        <w:rPr>
          <w:rFonts w:cs="Arial"/>
          <w:highlight w:val="green"/>
        </w:rPr>
        <w:t>green highlighted</w:t>
      </w:r>
      <w:r w:rsidR="004E1602" w:rsidRPr="00B23DC3">
        <w:rPr>
          <w:rFonts w:cs="Arial"/>
        </w:rPr>
        <w:t xml:space="preserve"> from </w:t>
      </w:r>
      <w:r w:rsidR="00DC6EE7">
        <w:rPr>
          <w:rFonts w:cs="Arial"/>
        </w:rPr>
        <w:t>the above</w:t>
      </w:r>
      <w:r w:rsidR="004E1602" w:rsidRPr="00B23DC3">
        <w:rPr>
          <w:rFonts w:cs="Arial"/>
        </w:rPr>
        <w:t xml:space="preserve"> </w:t>
      </w:r>
      <w:r w:rsidR="006A7B57">
        <w:rPr>
          <w:rFonts w:cs="Arial"/>
        </w:rPr>
        <w:t xml:space="preserve">noted </w:t>
      </w:r>
      <w:r w:rsidR="004E1602" w:rsidRPr="00B23DC3">
        <w:rPr>
          <w:rFonts w:cs="Arial"/>
        </w:rPr>
        <w:t xml:space="preserve">70 pages </w:t>
      </w:r>
      <w:r w:rsidR="006A7B57">
        <w:rPr>
          <w:rFonts w:cs="Arial"/>
        </w:rPr>
        <w:t xml:space="preserve">Commonwealth Govt. </w:t>
      </w:r>
      <w:r w:rsidR="00DC6EE7">
        <w:rPr>
          <w:rFonts w:cs="Arial"/>
        </w:rPr>
        <w:t>code of conduct that places</w:t>
      </w:r>
      <w:r w:rsidR="004E1602" w:rsidRPr="00B23DC3">
        <w:rPr>
          <w:rFonts w:cs="Arial"/>
        </w:rPr>
        <w:t xml:space="preserve"> stern obligations to </w:t>
      </w:r>
      <w:r w:rsidR="00470AFD">
        <w:rPr>
          <w:rFonts w:cs="Arial"/>
        </w:rPr>
        <w:br/>
      </w:r>
      <w:r w:rsidR="004E1602" w:rsidRPr="006A7B57">
        <w:rPr>
          <w:rFonts w:cs="Arial"/>
          <w:i/>
        </w:rPr>
        <w:t>act in the best interests of the public</w:t>
      </w:r>
      <w:r w:rsidR="004E1602" w:rsidRPr="00B23DC3">
        <w:rPr>
          <w:rFonts w:cs="Arial"/>
        </w:rPr>
        <w:t xml:space="preserve"> and </w:t>
      </w:r>
      <w:r w:rsidR="004E1602" w:rsidRPr="006A7B57">
        <w:rPr>
          <w:rFonts w:cs="Arial"/>
          <w:i/>
        </w:rPr>
        <w:t>not to be negligent</w:t>
      </w:r>
      <w:r w:rsidR="004E1602" w:rsidRPr="00B23DC3">
        <w:rPr>
          <w:rFonts w:cs="Arial"/>
        </w:rPr>
        <w:t>.  For example:</w:t>
      </w:r>
    </w:p>
    <w:p w:rsidR="00AB2841" w:rsidRPr="00AB2841" w:rsidRDefault="00AB2841" w:rsidP="00AB2841">
      <w:pPr>
        <w:pStyle w:val="NormalWeb"/>
        <w:spacing w:before="60" w:beforeAutospacing="0" w:after="40" w:afterAutospacing="0"/>
        <w:ind w:left="1440"/>
        <w:rPr>
          <w:rFonts w:ascii="Arial" w:hAnsi="Arial" w:cs="Arial"/>
          <w:color w:val="000000"/>
          <w:sz w:val="22"/>
          <w:szCs w:val="22"/>
        </w:rPr>
      </w:pPr>
      <w:r w:rsidRPr="00AB2841">
        <w:rPr>
          <w:rFonts w:ascii="Arial" w:hAnsi="Arial" w:cs="Arial"/>
          <w:color w:val="000000"/>
          <w:sz w:val="22"/>
          <w:szCs w:val="22"/>
        </w:rPr>
        <w:t xml:space="preserve">2.3 </w:t>
      </w:r>
      <w:r w:rsidRPr="00AB2841">
        <w:rPr>
          <w:rFonts w:ascii="Arial" w:hAnsi="Arial" w:cs="Arial"/>
          <w:b/>
          <w:color w:val="000000"/>
          <w:sz w:val="22"/>
          <w:szCs w:val="22"/>
        </w:rPr>
        <w:t>Providing information</w:t>
      </w:r>
    </w:p>
    <w:p w:rsidR="00AB2841" w:rsidRPr="00AB2841" w:rsidRDefault="00AB2841" w:rsidP="00AB2841">
      <w:pPr>
        <w:pStyle w:val="NormalWeb"/>
        <w:spacing w:before="0" w:beforeAutospacing="0" w:after="0" w:afterAutospacing="0"/>
        <w:ind w:left="1440"/>
        <w:rPr>
          <w:rFonts w:ascii="Arial" w:hAnsi="Arial" w:cs="Arial"/>
          <w:color w:val="000000"/>
          <w:sz w:val="22"/>
          <w:szCs w:val="22"/>
        </w:rPr>
      </w:pPr>
      <w:r w:rsidRPr="00AB2841">
        <w:rPr>
          <w:rFonts w:ascii="Arial" w:hAnsi="Arial" w:cs="Arial"/>
          <w:color w:val="000000"/>
          <w:sz w:val="22"/>
          <w:szCs w:val="22"/>
        </w:rPr>
        <w:t>2.3.1 In doing their work, employees are expected to exercise reasonable care in providing information. Information may be sought and provided face to face, over the telephone, electronically or in writing. In all cases it is important to have regard to the following:</w:t>
      </w:r>
    </w:p>
    <w:p w:rsidR="004E1602" w:rsidRPr="00A535DD" w:rsidRDefault="004E1602" w:rsidP="00470AFD">
      <w:pPr>
        <w:pStyle w:val="Style11ptLeft13cmAfter6pt"/>
        <w:numPr>
          <w:ilvl w:val="0"/>
          <w:numId w:val="1"/>
        </w:numPr>
        <w:spacing w:after="20" w:line="240" w:lineRule="auto"/>
        <w:ind w:left="1800"/>
        <w:rPr>
          <w:rFonts w:ascii="Arial" w:hAnsi="Arial" w:cs="Arial"/>
          <w:b/>
          <w:bCs/>
          <w:lang w:val="en" w:eastAsia="en-AU"/>
        </w:rPr>
      </w:pPr>
      <w:r w:rsidRPr="00A535DD">
        <w:rPr>
          <w:rFonts w:ascii="Arial" w:hAnsi="Arial" w:cs="Arial"/>
          <w:b/>
          <w:bCs/>
          <w:lang w:val="en" w:eastAsia="en-AU"/>
        </w:rPr>
        <w:t>employees have a duty to exercise reasonable care and diligence to ensure that information provided is accurate</w:t>
      </w:r>
    </w:p>
    <w:p w:rsidR="004E1602" w:rsidRPr="00A535DD" w:rsidRDefault="004E1602" w:rsidP="00470AFD">
      <w:pPr>
        <w:pStyle w:val="Heading3"/>
        <w:spacing w:before="120" w:after="0"/>
        <w:ind w:left="1426"/>
        <w:rPr>
          <w:rFonts w:ascii="Arial" w:eastAsia="Times New Roman" w:hAnsi="Arial" w:cs="Arial"/>
          <w:lang w:val="en-AU"/>
        </w:rPr>
      </w:pPr>
      <w:r w:rsidRPr="00A535DD">
        <w:rPr>
          <w:rFonts w:ascii="Arial" w:eastAsia="Times New Roman" w:hAnsi="Arial" w:cs="Arial"/>
          <w:lang w:val="en-AU"/>
        </w:rPr>
        <w:t>Care and diligence in connection with employment</w:t>
      </w:r>
    </w:p>
    <w:p w:rsidR="004E1602" w:rsidRPr="00A535DD" w:rsidRDefault="004E1602" w:rsidP="00A535DD">
      <w:pPr>
        <w:pStyle w:val="BodyText2"/>
        <w:spacing w:after="0" w:line="240" w:lineRule="auto"/>
        <w:ind w:left="2340" w:hanging="900"/>
        <w:rPr>
          <w:sz w:val="22"/>
          <w:szCs w:val="22"/>
          <w:lang w:val="en-AU"/>
        </w:rPr>
      </w:pPr>
      <w:r w:rsidRPr="00A535DD">
        <w:rPr>
          <w:sz w:val="22"/>
          <w:szCs w:val="22"/>
          <w:lang w:val="en-AU"/>
        </w:rPr>
        <w:t xml:space="preserve">3.3.5      </w:t>
      </w:r>
      <w:r w:rsidRPr="00A535DD">
        <w:rPr>
          <w:b/>
          <w:bCs/>
          <w:sz w:val="22"/>
          <w:szCs w:val="22"/>
          <w:lang w:val="en-AU"/>
        </w:rPr>
        <w:t>Employees are required to act with care and diligence in connection with APS employment</w:t>
      </w:r>
      <w:r w:rsidRPr="00A535DD">
        <w:rPr>
          <w:sz w:val="22"/>
          <w:szCs w:val="22"/>
          <w:lang w:val="en-AU"/>
        </w:rPr>
        <w:t>.</w:t>
      </w:r>
    </w:p>
    <w:p w:rsidR="004E1602" w:rsidRPr="00A535DD" w:rsidRDefault="004E1602" w:rsidP="00A535DD">
      <w:pPr>
        <w:pStyle w:val="BodyText2"/>
        <w:spacing w:before="80" w:line="240" w:lineRule="auto"/>
        <w:ind w:left="1440"/>
        <w:rPr>
          <w:sz w:val="22"/>
          <w:szCs w:val="22"/>
          <w:lang w:val="en-AU"/>
        </w:rPr>
      </w:pPr>
      <w:r w:rsidRPr="00A535DD">
        <w:rPr>
          <w:sz w:val="22"/>
          <w:szCs w:val="22"/>
          <w:lang w:val="en-AU"/>
        </w:rPr>
        <w:t>3.3.6      Care and diligence have their ordinary dictionary meanings of ‘serious attention and solicitude to work’ and ‘earnest effort t</w:t>
      </w:r>
      <w:bookmarkStart w:id="1" w:name="footnote62"/>
      <w:r w:rsidRPr="00A535DD">
        <w:rPr>
          <w:sz w:val="22"/>
          <w:szCs w:val="22"/>
          <w:lang w:val="en-AU"/>
        </w:rPr>
        <w:t>o accomplish what is undertaken</w:t>
      </w:r>
      <w:bookmarkEnd w:id="1"/>
      <w:r w:rsidRPr="00A535DD">
        <w:rPr>
          <w:sz w:val="22"/>
          <w:szCs w:val="22"/>
          <w:lang w:val="en-AU"/>
        </w:rPr>
        <w:t>’.</w:t>
      </w:r>
      <w:r w:rsidRPr="00A535DD">
        <w:rPr>
          <w:sz w:val="22"/>
          <w:szCs w:val="22"/>
          <w:vertAlign w:val="superscript"/>
          <w:lang w:val="en-AU"/>
        </w:rPr>
        <w:endnoteReference w:customMarkFollows="1" w:id="1"/>
        <w:t>[i]</w:t>
      </w:r>
      <w:r w:rsidRPr="00A535DD">
        <w:rPr>
          <w:sz w:val="22"/>
          <w:szCs w:val="22"/>
          <w:lang w:val="en-AU"/>
        </w:rPr>
        <w:t xml:space="preserve"> The standard of care and diligence required of an employee may depend on their role and level of responsibility. </w:t>
      </w:r>
      <w:r w:rsidRPr="00A535DD">
        <w:rPr>
          <w:b/>
          <w:bCs/>
          <w:sz w:val="22"/>
          <w:szCs w:val="22"/>
          <w:lang w:val="en-AU"/>
        </w:rPr>
        <w:t>For example, the level of care and diligence required of senior managers responsible for the delivery of a program of work may be higher than that of other employees delivering single elements of that program</w:t>
      </w:r>
      <w:r w:rsidRPr="00A535DD">
        <w:rPr>
          <w:sz w:val="22"/>
          <w:szCs w:val="22"/>
          <w:lang w:val="en-AU"/>
        </w:rPr>
        <w:t xml:space="preserve">. It is expected that employees are fair minded and take reasonable steps to keep themselves informed, capable and aware of the law when exercising their role and responsibilities. </w:t>
      </w:r>
    </w:p>
    <w:p w:rsidR="004E1602" w:rsidRPr="00A535DD" w:rsidRDefault="004E1602" w:rsidP="00A535DD">
      <w:pPr>
        <w:pStyle w:val="BodyText2"/>
        <w:spacing w:line="240" w:lineRule="auto"/>
        <w:ind w:left="1440"/>
        <w:rPr>
          <w:sz w:val="22"/>
          <w:szCs w:val="22"/>
          <w:lang w:val="en-AU"/>
        </w:rPr>
      </w:pPr>
      <w:r w:rsidRPr="00A535DD">
        <w:rPr>
          <w:sz w:val="22"/>
          <w:szCs w:val="22"/>
          <w:lang w:val="en-AU"/>
        </w:rPr>
        <w:t>3.3.7      In some cases, the skills and experience of the employee may be relevant to whether they have acted with care and diligence. For example:</w:t>
      </w:r>
    </w:p>
    <w:p w:rsidR="004E1602" w:rsidRPr="00A535DD" w:rsidRDefault="00AB2841" w:rsidP="00A535DD">
      <w:pPr>
        <w:spacing w:after="120" w:line="240" w:lineRule="auto"/>
        <w:ind w:left="1856" w:hanging="399"/>
        <w:contextualSpacing/>
        <w:rPr>
          <w:sz w:val="22"/>
          <w:szCs w:val="22"/>
          <w:lang w:val="en" w:eastAsia="en-AU"/>
        </w:rPr>
      </w:pPr>
      <w:r>
        <w:rPr>
          <w:sz w:val="22"/>
          <w:szCs w:val="22"/>
          <w:lang w:val="en" w:eastAsia="en-AU"/>
        </w:rPr>
        <w:t>a.    </w:t>
      </w:r>
      <w:r w:rsidR="004E1602" w:rsidRPr="00A535DD">
        <w:rPr>
          <w:sz w:val="22"/>
          <w:szCs w:val="22"/>
          <w:lang w:val="en" w:eastAsia="en-AU"/>
        </w:rPr>
        <w:t>an employee who has received training in a specialist skill may be expected to exercise those skills—a person who was known not to have those skills could not reasonably be expected to exercise them</w:t>
      </w:r>
    </w:p>
    <w:p w:rsidR="004E1602" w:rsidRPr="00A535DD" w:rsidRDefault="00AB2841" w:rsidP="00A535DD">
      <w:pPr>
        <w:spacing w:after="120" w:line="240" w:lineRule="auto"/>
        <w:ind w:left="1856" w:hanging="399"/>
        <w:contextualSpacing/>
        <w:rPr>
          <w:sz w:val="22"/>
          <w:szCs w:val="22"/>
          <w:lang w:val="en-AU"/>
        </w:rPr>
      </w:pPr>
      <w:r>
        <w:rPr>
          <w:sz w:val="22"/>
          <w:szCs w:val="22"/>
          <w:lang w:val="en" w:eastAsia="en-AU"/>
        </w:rPr>
        <w:t>b.    </w:t>
      </w:r>
      <w:r w:rsidR="004E1602" w:rsidRPr="00A535DD">
        <w:rPr>
          <w:sz w:val="22"/>
          <w:szCs w:val="22"/>
          <w:lang w:val="en" w:eastAsia="en-AU"/>
        </w:rPr>
        <w:t>an employee with many years of relevant experience might reasonably be expected to discharge their duties more effectively than an employee who had no previous directly relevant experience.</w:t>
      </w:r>
      <w:bookmarkStart w:id="2" w:name="_Toc443374802"/>
      <w:bookmarkStart w:id="3" w:name="_Section_4:_Managing"/>
      <w:bookmarkEnd w:id="2"/>
      <w:bookmarkEnd w:id="3"/>
      <w:r w:rsidR="004E1602" w:rsidRPr="00A535DD">
        <w:rPr>
          <w:sz w:val="22"/>
          <w:szCs w:val="22"/>
        </w:rPr>
        <w:t>Section 4: Managing information</w:t>
      </w:r>
      <w:r w:rsidR="00A535DD">
        <w:rPr>
          <w:sz w:val="22"/>
          <w:szCs w:val="22"/>
        </w:rPr>
        <w:t>.</w:t>
      </w:r>
    </w:p>
    <w:p w:rsidR="00B23DC3" w:rsidRPr="00A535DD" w:rsidRDefault="00B23DC3" w:rsidP="004E1602">
      <w:pPr>
        <w:jc w:val="center"/>
        <w:rPr>
          <w:rFonts w:eastAsia="Times New Roman"/>
          <w:sz w:val="2"/>
          <w:szCs w:val="2"/>
        </w:rPr>
      </w:pPr>
    </w:p>
    <w:p w:rsidR="00DC3489" w:rsidRPr="00A535DD" w:rsidRDefault="00A535DD" w:rsidP="00A535DD">
      <w:pPr>
        <w:ind w:left="2250" w:hanging="810"/>
        <w:rPr>
          <w:rFonts w:ascii="Times New Roman" w:eastAsia="Times New Roman" w:hAnsi="Times New Roman"/>
          <w:b/>
          <w:sz w:val="22"/>
          <w:szCs w:val="22"/>
        </w:rPr>
      </w:pPr>
      <w:r w:rsidRPr="00A535DD">
        <w:rPr>
          <w:sz w:val="22"/>
          <w:szCs w:val="22"/>
          <w:lang w:val="en-AU"/>
        </w:rPr>
        <w:t>4.1.3     </w:t>
      </w:r>
      <w:r w:rsidR="00B23DC3" w:rsidRPr="00A535DD">
        <w:rPr>
          <w:bCs/>
          <w:sz w:val="22"/>
          <w:szCs w:val="22"/>
          <w:lang w:val="en-AU"/>
        </w:rPr>
        <w:t xml:space="preserve">Australian Public Service (APS) employees must be able </w:t>
      </w:r>
      <w:r w:rsidR="00B23DC3" w:rsidRPr="00A535DD">
        <w:rPr>
          <w:b/>
          <w:bCs/>
          <w:sz w:val="22"/>
          <w:szCs w:val="22"/>
          <w:lang w:val="en-AU"/>
        </w:rPr>
        <w:t>to demonstrate that their actions and decisions have been made with appropriate consideration, with care and diligence, and using Commonwealth resources properly.</w:t>
      </w:r>
      <w:r w:rsidR="00B23DC3" w:rsidRPr="00A535DD">
        <w:rPr>
          <w:rFonts w:ascii="Times New Roman" w:eastAsia="Times New Roman" w:hAnsi="Times New Roman"/>
          <w:b/>
          <w:sz w:val="22"/>
          <w:szCs w:val="22"/>
        </w:rPr>
        <w:t xml:space="preserve"> </w:t>
      </w:r>
    </w:p>
    <w:sectPr w:rsidR="00DC3489" w:rsidRPr="00A535DD" w:rsidSect="00470AFD">
      <w:headerReference w:type="even" r:id="rId12"/>
      <w:headerReference w:type="default" r:id="rId13"/>
      <w:footerReference w:type="even" r:id="rId14"/>
      <w:footerReference w:type="default" r:id="rId15"/>
      <w:headerReference w:type="first" r:id="rId16"/>
      <w:footerReference w:type="first" r:id="rId17"/>
      <w:pgSz w:w="12240" w:h="15840"/>
      <w:pgMar w:top="1440" w:right="864" w:bottom="115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05" w:rsidRDefault="00264605" w:rsidP="007A40F0">
      <w:pPr>
        <w:spacing w:after="0" w:line="240" w:lineRule="auto"/>
      </w:pPr>
      <w:r>
        <w:separator/>
      </w:r>
    </w:p>
  </w:endnote>
  <w:endnote w:type="continuationSeparator" w:id="0">
    <w:p w:rsidR="00264605" w:rsidRDefault="00264605" w:rsidP="007A40F0">
      <w:pPr>
        <w:spacing w:after="0" w:line="240" w:lineRule="auto"/>
      </w:pPr>
      <w:r>
        <w:continuationSeparator/>
      </w:r>
    </w:p>
  </w:endnote>
  <w:endnote w:id="1">
    <w:p w:rsidR="004E1602" w:rsidRDefault="004E1602" w:rsidP="004E1602">
      <w:pPr>
        <w:pStyle w:val="EndnoteText"/>
        <w:rPr>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05" w:rsidRDefault="00264605" w:rsidP="007A40F0">
      <w:pPr>
        <w:spacing w:after="0" w:line="240" w:lineRule="auto"/>
      </w:pPr>
      <w:r>
        <w:separator/>
      </w:r>
    </w:p>
  </w:footnote>
  <w:footnote w:type="continuationSeparator" w:id="0">
    <w:p w:rsidR="00264605" w:rsidRDefault="00264605" w:rsidP="007A40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79155"/>
      <w:docPartObj>
        <w:docPartGallery w:val="Page Numbers (Top of Page)"/>
        <w:docPartUnique/>
      </w:docPartObj>
    </w:sdtPr>
    <w:sdtEndPr>
      <w:rPr>
        <w:noProof/>
      </w:rPr>
    </w:sdtEndPr>
    <w:sdtContent>
      <w:p w:rsidR="007A40F0" w:rsidRDefault="007A40F0">
        <w:pPr>
          <w:pStyle w:val="Header"/>
          <w:jc w:val="center"/>
        </w:pPr>
        <w:r>
          <w:fldChar w:fldCharType="begin"/>
        </w:r>
        <w:r>
          <w:instrText xml:space="preserve"> PAGE   \* MERGEFORMAT </w:instrText>
        </w:r>
        <w:r>
          <w:fldChar w:fldCharType="separate"/>
        </w:r>
        <w:r w:rsidR="004F353F">
          <w:rPr>
            <w:noProof/>
          </w:rPr>
          <w:t>3</w:t>
        </w:r>
        <w:r>
          <w:rPr>
            <w:noProof/>
          </w:rPr>
          <w:fldChar w:fldCharType="end"/>
        </w:r>
      </w:p>
    </w:sdtContent>
  </w:sdt>
  <w:p w:rsidR="007A40F0" w:rsidRDefault="007A4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0F0" w:rsidRDefault="007A4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25F2"/>
    <w:multiLevelType w:val="hybridMultilevel"/>
    <w:tmpl w:val="81A28876"/>
    <w:lvl w:ilvl="0" w:tplc="18C487E6">
      <w:start w:val="1"/>
      <w:numFmt w:val="lowerLetter"/>
      <w:lvlText w:val="%1."/>
      <w:lvlJc w:val="left"/>
      <w:pPr>
        <w:ind w:left="1097"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7"/>
    <w:rsid w:val="00017673"/>
    <w:rsid w:val="000357FA"/>
    <w:rsid w:val="000C3E9B"/>
    <w:rsid w:val="000F774C"/>
    <w:rsid w:val="00124155"/>
    <w:rsid w:val="00181B5C"/>
    <w:rsid w:val="00236EF9"/>
    <w:rsid w:val="00264605"/>
    <w:rsid w:val="002660F0"/>
    <w:rsid w:val="002B067D"/>
    <w:rsid w:val="002E20ED"/>
    <w:rsid w:val="00470AFD"/>
    <w:rsid w:val="004E1602"/>
    <w:rsid w:val="004F353F"/>
    <w:rsid w:val="00542E0C"/>
    <w:rsid w:val="0067749D"/>
    <w:rsid w:val="006A7B57"/>
    <w:rsid w:val="006E03F6"/>
    <w:rsid w:val="007202F7"/>
    <w:rsid w:val="007A40F0"/>
    <w:rsid w:val="008B70E9"/>
    <w:rsid w:val="008C309E"/>
    <w:rsid w:val="008F5BDF"/>
    <w:rsid w:val="009079ED"/>
    <w:rsid w:val="009C0FF8"/>
    <w:rsid w:val="009F3AB4"/>
    <w:rsid w:val="00A026AB"/>
    <w:rsid w:val="00A535DD"/>
    <w:rsid w:val="00A91F6D"/>
    <w:rsid w:val="00AB2841"/>
    <w:rsid w:val="00B00223"/>
    <w:rsid w:val="00B23DC3"/>
    <w:rsid w:val="00BA47F7"/>
    <w:rsid w:val="00BE639D"/>
    <w:rsid w:val="00BF2FD3"/>
    <w:rsid w:val="00C83E6D"/>
    <w:rsid w:val="00CD3BAF"/>
    <w:rsid w:val="00D0606C"/>
    <w:rsid w:val="00D113AF"/>
    <w:rsid w:val="00DC3489"/>
    <w:rsid w:val="00DC6EE7"/>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1E56FB-4830-4073-BF24-ECC5DC9C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4E1602"/>
    <w:pPr>
      <w:keepNext/>
      <w:spacing w:before="240" w:after="60" w:line="240" w:lineRule="auto"/>
      <w:outlineLvl w:val="2"/>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7F7"/>
    <w:rPr>
      <w:color w:val="0000FF"/>
      <w:u w:val="single"/>
    </w:rPr>
  </w:style>
  <w:style w:type="paragraph" w:styleId="BodyText">
    <w:name w:val="Body Text"/>
    <w:basedOn w:val="Normal"/>
    <w:link w:val="BodyTextChar"/>
    <w:uiPriority w:val="1"/>
    <w:semiHidden/>
    <w:unhideWhenUsed/>
    <w:qFormat/>
    <w:rsid w:val="00BA47F7"/>
    <w:pPr>
      <w:autoSpaceDE w:val="0"/>
      <w:autoSpaceDN w:val="0"/>
      <w:spacing w:after="0" w:line="240" w:lineRule="auto"/>
    </w:pPr>
    <w:rPr>
      <w:rFonts w:ascii="Times New Roman" w:hAnsi="Times New Roman"/>
      <w:sz w:val="21"/>
      <w:szCs w:val="21"/>
    </w:rPr>
  </w:style>
  <w:style w:type="character" w:customStyle="1" w:styleId="BodyTextChar">
    <w:name w:val="Body Text Char"/>
    <w:basedOn w:val="DefaultParagraphFont"/>
    <w:link w:val="BodyText"/>
    <w:uiPriority w:val="1"/>
    <w:semiHidden/>
    <w:rsid w:val="00BA47F7"/>
    <w:rPr>
      <w:rFonts w:ascii="Times New Roman" w:hAnsi="Times New Roman"/>
      <w:sz w:val="21"/>
      <w:szCs w:val="21"/>
    </w:rPr>
  </w:style>
  <w:style w:type="paragraph" w:customStyle="1" w:styleId="Default">
    <w:name w:val="Default"/>
    <w:rsid w:val="00BA47F7"/>
    <w:pPr>
      <w:autoSpaceDE w:val="0"/>
      <w:autoSpaceDN w:val="0"/>
      <w:adjustRightInd w:val="0"/>
      <w:spacing w:after="0" w:line="240" w:lineRule="auto"/>
    </w:pPr>
    <w:rPr>
      <w:rFonts w:ascii="Times New Roman" w:eastAsia="Times New Roman" w:hAnsi="Times New Roman"/>
      <w:color w:val="000000"/>
    </w:rPr>
  </w:style>
  <w:style w:type="paragraph" w:styleId="Header">
    <w:name w:val="header"/>
    <w:basedOn w:val="Normal"/>
    <w:link w:val="HeaderChar"/>
    <w:uiPriority w:val="99"/>
    <w:unhideWhenUsed/>
    <w:rsid w:val="007A4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F0"/>
  </w:style>
  <w:style w:type="paragraph" w:styleId="Footer">
    <w:name w:val="footer"/>
    <w:basedOn w:val="Normal"/>
    <w:link w:val="FooterChar"/>
    <w:uiPriority w:val="99"/>
    <w:unhideWhenUsed/>
    <w:rsid w:val="007A4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F0"/>
  </w:style>
  <w:style w:type="paragraph" w:styleId="BodyText2">
    <w:name w:val="Body Text 2"/>
    <w:basedOn w:val="Normal"/>
    <w:link w:val="BodyText2Char"/>
    <w:uiPriority w:val="99"/>
    <w:semiHidden/>
    <w:unhideWhenUsed/>
    <w:rsid w:val="004E1602"/>
    <w:pPr>
      <w:spacing w:after="120" w:line="480" w:lineRule="auto"/>
    </w:pPr>
  </w:style>
  <w:style w:type="character" w:customStyle="1" w:styleId="BodyText2Char">
    <w:name w:val="Body Text 2 Char"/>
    <w:basedOn w:val="DefaultParagraphFont"/>
    <w:link w:val="BodyText2"/>
    <w:uiPriority w:val="99"/>
    <w:semiHidden/>
    <w:rsid w:val="004E1602"/>
  </w:style>
  <w:style w:type="character" w:customStyle="1" w:styleId="Heading3Char">
    <w:name w:val="Heading 3 Char"/>
    <w:basedOn w:val="DefaultParagraphFont"/>
    <w:link w:val="Heading3"/>
    <w:uiPriority w:val="9"/>
    <w:semiHidden/>
    <w:rsid w:val="004E1602"/>
    <w:rPr>
      <w:rFonts w:ascii="Calibri" w:hAnsi="Calibri" w:cs="Calibri"/>
      <w:b/>
      <w:bCs/>
      <w:sz w:val="22"/>
      <w:szCs w:val="22"/>
    </w:rPr>
  </w:style>
  <w:style w:type="paragraph" w:styleId="EndnoteText">
    <w:name w:val="endnote text"/>
    <w:basedOn w:val="Normal"/>
    <w:link w:val="EndnoteTextChar"/>
    <w:uiPriority w:val="99"/>
    <w:semiHidden/>
    <w:unhideWhenUsed/>
    <w:rsid w:val="004E1602"/>
    <w:pPr>
      <w:spacing w:after="120" w:line="240" w:lineRule="auto"/>
    </w:pPr>
    <w:rPr>
      <w:rFonts w:ascii="Calibri" w:hAnsi="Calibri" w:cs="Calibri"/>
      <w:sz w:val="18"/>
      <w:szCs w:val="18"/>
    </w:rPr>
  </w:style>
  <w:style w:type="character" w:customStyle="1" w:styleId="EndnoteTextChar">
    <w:name w:val="Endnote Text Char"/>
    <w:basedOn w:val="DefaultParagraphFont"/>
    <w:link w:val="EndnoteText"/>
    <w:uiPriority w:val="99"/>
    <w:semiHidden/>
    <w:rsid w:val="004E1602"/>
    <w:rPr>
      <w:rFonts w:ascii="Calibri" w:hAnsi="Calibri" w:cs="Calibri"/>
      <w:sz w:val="18"/>
      <w:szCs w:val="18"/>
    </w:rPr>
  </w:style>
  <w:style w:type="paragraph" w:customStyle="1" w:styleId="Style11ptLeft13cmAfter6pt">
    <w:name w:val="Style 11 pt Left:  1.3 cm After:  6 pt"/>
    <w:basedOn w:val="Normal"/>
    <w:rsid w:val="004E1602"/>
    <w:pPr>
      <w:spacing w:after="120" w:line="312" w:lineRule="auto"/>
      <w:ind w:left="1304" w:hanging="567"/>
      <w:contextualSpacing/>
    </w:pPr>
    <w:rPr>
      <w:rFonts w:ascii="Calibri" w:hAnsi="Calibri" w:cs="Calibri"/>
      <w:sz w:val="22"/>
      <w:szCs w:val="22"/>
    </w:rPr>
  </w:style>
  <w:style w:type="paragraph" w:styleId="NormalWeb">
    <w:name w:val="Normal (Web)"/>
    <w:basedOn w:val="Normal"/>
    <w:uiPriority w:val="99"/>
    <w:semiHidden/>
    <w:unhideWhenUsed/>
    <w:rsid w:val="00AB2841"/>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9023">
      <w:bodyDiv w:val="1"/>
      <w:marLeft w:val="0"/>
      <w:marRight w:val="0"/>
      <w:marTop w:val="0"/>
      <w:marBottom w:val="0"/>
      <w:divBdr>
        <w:top w:val="none" w:sz="0" w:space="0" w:color="auto"/>
        <w:left w:val="none" w:sz="0" w:space="0" w:color="auto"/>
        <w:bottom w:val="none" w:sz="0" w:space="0" w:color="auto"/>
        <w:right w:val="none" w:sz="0" w:space="0" w:color="auto"/>
      </w:divBdr>
    </w:div>
    <w:div w:id="134840271">
      <w:bodyDiv w:val="1"/>
      <w:marLeft w:val="0"/>
      <w:marRight w:val="0"/>
      <w:marTop w:val="0"/>
      <w:marBottom w:val="0"/>
      <w:divBdr>
        <w:top w:val="none" w:sz="0" w:space="0" w:color="auto"/>
        <w:left w:val="none" w:sz="0" w:space="0" w:color="auto"/>
        <w:bottom w:val="none" w:sz="0" w:space="0" w:color="auto"/>
        <w:right w:val="none" w:sz="0" w:space="0" w:color="auto"/>
      </w:divBdr>
    </w:div>
    <w:div w:id="839855449">
      <w:bodyDiv w:val="1"/>
      <w:marLeft w:val="0"/>
      <w:marRight w:val="0"/>
      <w:marTop w:val="0"/>
      <w:marBottom w:val="0"/>
      <w:divBdr>
        <w:top w:val="none" w:sz="0" w:space="0" w:color="auto"/>
        <w:left w:val="none" w:sz="0" w:space="0" w:color="auto"/>
        <w:bottom w:val="none" w:sz="0" w:space="0" w:color="auto"/>
        <w:right w:val="none" w:sz="0" w:space="0" w:color="auto"/>
      </w:divBdr>
    </w:div>
    <w:div w:id="21374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national/gerald-gleeson-the-man-who-became-neville-wrans-mr-fixit-20180101-h0c2r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paa.org.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apsc.gov.au%2Fsites%2Fdefault%2Ffiles%2F2021-03%2FIn-practiceweb.docx&amp;wdOrigin=BROWSELIN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bc.net.au/news/2023-08-06/shadow-state:-how-consultants-infiltrated/1026861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mdb.com/title/tt0872060/mediaviewer/rm2452948993/?ref_=tt_ov_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2023-08-13T05:48:00Z</dcterms:created>
  <dcterms:modified xsi:type="dcterms:W3CDTF">2023-08-14T04:01:00Z</dcterms:modified>
</cp:coreProperties>
</file>