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8A" w:rsidRDefault="0000028A" w:rsidP="0000028A">
      <w:pPr>
        <w:rPr>
          <w:rFonts w:ascii="Arial" w:hAnsi="Arial" w:cs="Arial"/>
          <w:color w:val="000000"/>
        </w:rPr>
      </w:pPr>
      <w:bookmarkStart w:id="0" w:name="_MailOriginal"/>
      <w:r>
        <w:rPr>
          <w:rFonts w:ascii="Arial" w:hAnsi="Arial" w:cs="Arial"/>
          <w:color w:val="000000"/>
        </w:rPr>
        <w:t>Attention:   </w:t>
      </w:r>
      <w:r>
        <w:rPr>
          <w:rFonts w:ascii="Arial" w:hAnsi="Arial" w:cs="Arial"/>
          <w:color w:val="000000" w:themeColor="text1"/>
        </w:rPr>
        <w:t xml:space="preserve">Adele Ferguson  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sz w:val="20"/>
          <w:szCs w:val="20"/>
        </w:rPr>
        <w:t> Left mouse click on the below embedded threads</w:t>
      </w:r>
    </w:p>
    <w:p w:rsidR="0000028A" w:rsidRDefault="0000028A" w:rsidP="0000028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</w:t>
      </w:r>
      <w:hyperlink r:id="rId7" w:history="1">
        <w:r>
          <w:rPr>
            <w:rStyle w:val="Hyperlink"/>
            <w:rFonts w:ascii="futura-pt" w:hAnsi="futura-pt"/>
            <w:b/>
            <w:spacing w:val="5"/>
            <w:szCs w:val="24"/>
          </w:rPr>
          <w:t>aferguson@protonmail.com</w:t>
        </w:r>
      </w:hyperlink>
      <w:r>
        <w:rPr>
          <w:rFonts w:ascii="futura-pt" w:hAnsi="futura-pt"/>
          <w:b/>
          <w:spacing w:val="5"/>
          <w:szCs w:val="24"/>
        </w:rPr>
        <w:t xml:space="preserve">   </w:t>
      </w:r>
      <w:hyperlink r:id="rId8" w:history="1">
        <w:r>
          <w:rPr>
            <w:rStyle w:val="Hyperlink"/>
            <w:rFonts w:ascii="futura-pt" w:hAnsi="futura-pt"/>
            <w:b/>
            <w:spacing w:val="5"/>
            <w:szCs w:val="24"/>
          </w:rPr>
          <w:t>adele@adeleferguson.com.au</w:t>
        </w:r>
      </w:hyperlink>
    </w:p>
    <w:p w:rsidR="0000028A" w:rsidRDefault="0000028A" w:rsidP="0000028A">
      <w:pPr>
        <w:rPr>
          <w:color w:val="000000" w:themeColor="text1"/>
        </w:rPr>
      </w:pPr>
    </w:p>
    <w:p w:rsidR="0000028A" w:rsidRDefault="0000028A" w:rsidP="0000028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Yesterday I posted an A4 envelope to you at </w:t>
      </w:r>
    </w:p>
    <w:p w:rsidR="0000028A" w:rsidRDefault="0000028A" w:rsidP="0000028A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  <w:r>
        <w:rPr>
          <w:rFonts w:ascii="Arial" w:hAnsi="Arial" w:cs="Arial"/>
        </w:rPr>
        <w:t>PO Box 3262</w:t>
      </w:r>
      <w:r>
        <w:rPr>
          <w:rFonts w:ascii="Arial" w:hAnsi="Arial" w:cs="Arial"/>
        </w:rPr>
        <w:br/>
        <w:t>   Tamarama NSW 2026</w:t>
      </w:r>
    </w:p>
    <w:p w:rsidR="0000028A" w:rsidRDefault="0000028A" w:rsidP="0000028A">
      <w:pPr>
        <w:rPr>
          <w:rFonts w:ascii="Arial" w:hAnsi="Arial" w:cstheme="minorBidi"/>
          <w:color w:val="000000" w:themeColor="text1"/>
        </w:rPr>
      </w:pPr>
    </w:p>
    <w:p w:rsidR="0000028A" w:rsidRDefault="0000028A" w:rsidP="0000028A">
      <w:pPr>
        <w:rPr>
          <w:rFonts w:ascii="Arial" w:hAnsi="Arial" w:cstheme="minorBidi"/>
          <w:color w:val="000000" w:themeColor="text1"/>
        </w:rPr>
      </w:pPr>
      <w:r>
        <w:rPr>
          <w:rFonts w:ascii="Arial" w:hAnsi="Arial" w:cstheme="minorBidi"/>
          <w:color w:val="000000" w:themeColor="text1"/>
        </w:rPr>
        <w:t>The envelope contains</w:t>
      </w:r>
      <w:proofErr w:type="gramStart"/>
      <w:r>
        <w:rPr>
          <w:rFonts w:ascii="Arial" w:hAnsi="Arial" w:cstheme="minorBidi"/>
          <w:color w:val="000000" w:themeColor="text1"/>
        </w:rPr>
        <w:t>:</w:t>
      </w:r>
      <w:proofErr w:type="gramEnd"/>
      <w:r>
        <w:rPr>
          <w:rFonts w:ascii="Arial" w:hAnsi="Arial" w:cstheme="minorBidi"/>
          <w:color w:val="000000" w:themeColor="text1"/>
        </w:rPr>
        <w:br/>
      </w:r>
      <w:r>
        <w:rPr>
          <w:rFonts w:ascii="Arial" w:hAnsi="Arial" w:cs="Arial"/>
          <w:color w:val="000000"/>
        </w:rPr>
        <w:t>2 @ A4 hardcopy of my letter to Tony Harris</w:t>
      </w:r>
      <w:r>
        <w:rPr>
          <w:rFonts w:ascii="Arial" w:hAnsi="Arial" w:cstheme="minorBidi"/>
          <w:color w:val="000000" w:themeColor="text1"/>
        </w:rPr>
        <w:t xml:space="preserve">  - </w:t>
      </w:r>
      <w:r>
        <w:rPr>
          <w:rFonts w:ascii="Arial" w:hAnsi="Arial" w:cstheme="minorBidi"/>
          <w:b/>
          <w:color w:val="000000" w:themeColor="text1"/>
        </w:rPr>
        <w:t>1</w:t>
      </w:r>
      <w:r>
        <w:rPr>
          <w:rFonts w:ascii="Arial" w:hAnsi="Arial" w:cstheme="minorBidi"/>
          <w:b/>
          <w:color w:val="000000" w:themeColor="text1"/>
          <w:vertAlign w:val="superscript"/>
        </w:rPr>
        <w:t>st</w:t>
      </w:r>
      <w:r>
        <w:rPr>
          <w:rFonts w:ascii="Arial" w:hAnsi="Arial" w:cstheme="minorBidi"/>
          <w:b/>
          <w:color w:val="000000" w:themeColor="text1"/>
        </w:rPr>
        <w:t xml:space="preserve"> Attachment</w:t>
      </w:r>
    </w:p>
    <w:p w:rsidR="0000028A" w:rsidRDefault="0000028A" w:rsidP="0000028A">
      <w:pPr>
        <w:rPr>
          <w:rFonts w:ascii="Arial" w:hAnsi="Arial" w:cstheme="minorBidi"/>
          <w:color w:val="000000" w:themeColor="text1"/>
        </w:rPr>
      </w:pPr>
      <w:r>
        <w:rPr>
          <w:rFonts w:ascii="Arial" w:hAnsi="Arial" w:cstheme="minorBidi"/>
          <w:color w:val="000000" w:themeColor="text1"/>
        </w:rPr>
        <w:t>2</w:t>
      </w:r>
      <w:r>
        <w:rPr>
          <w:rFonts w:ascii="Arial" w:hAnsi="Arial" w:cs="Arial"/>
          <w:color w:val="000000"/>
        </w:rPr>
        <w:t xml:space="preserve"> @ CDs  -  </w:t>
      </w:r>
      <w:r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  <w:vertAlign w:val="superscript"/>
        </w:rPr>
        <w:t>nd</w:t>
      </w:r>
      <w:r>
        <w:rPr>
          <w:rFonts w:ascii="Arial" w:hAnsi="Arial" w:cs="Arial"/>
          <w:b/>
          <w:color w:val="000000"/>
        </w:rPr>
        <w:t xml:space="preserve"> and 3rd Attachments</w:t>
      </w:r>
      <w:r>
        <w:rPr>
          <w:rFonts w:ascii="Arial" w:hAnsi="Arial" w:cs="Arial"/>
          <w:color w:val="000000"/>
        </w:rPr>
        <w:t xml:space="preserve">  -  A burnt CD enables greater integrity than files copied onto a USB Stick</w:t>
      </w:r>
      <w:r>
        <w:rPr>
          <w:rFonts w:ascii="Arial" w:hAnsi="Arial" w:cs="Arial"/>
          <w:color w:val="000000"/>
        </w:rPr>
        <w:br/>
        <w:t xml:space="preserve">2 @ 16 GBs USB Sticks </w:t>
      </w:r>
      <w:r>
        <w:rPr>
          <w:rFonts w:ascii="Arial" w:hAnsi="Arial" w:cs="Arial"/>
          <w:color w:val="000000"/>
        </w:rPr>
        <w:br/>
        <w:t>2 @ A4 instructions how to auto open the CDs in a Windows Operating System</w:t>
      </w:r>
    </w:p>
    <w:p w:rsidR="0000028A" w:rsidRDefault="0000028A" w:rsidP="0000028A">
      <w:pPr>
        <w:rPr>
          <w:rFonts w:ascii="Arial" w:hAnsi="Arial" w:cstheme="minorBidi"/>
          <w:color w:val="000000" w:themeColor="text1"/>
        </w:rPr>
      </w:pPr>
    </w:p>
    <w:p w:rsidR="0000028A" w:rsidRDefault="0000028A" w:rsidP="0000028A">
      <w:pPr>
        <w:rPr>
          <w:rFonts w:ascii="Arial" w:hAnsi="Arial" w:cstheme="minorBidi"/>
          <w:color w:val="000000" w:themeColor="text1"/>
        </w:rPr>
      </w:pPr>
      <w:r>
        <w:rPr>
          <w:rFonts w:ascii="Arial" w:hAnsi="Arial" w:cstheme="minorBidi"/>
          <w:color w:val="000000" w:themeColor="text1"/>
        </w:rPr>
        <w:t xml:space="preserve">Would you please send this email onto former NSW Auditor-General, Tony Harris, as my </w:t>
      </w:r>
      <w:r>
        <w:rPr>
          <w:rFonts w:ascii="Arial" w:hAnsi="Arial" w:cstheme="minorBidi"/>
          <w:b/>
          <w:color w:val="000000" w:themeColor="text1"/>
        </w:rPr>
        <w:t>1</w:t>
      </w:r>
      <w:r>
        <w:rPr>
          <w:rFonts w:ascii="Arial" w:hAnsi="Arial" w:cstheme="minorBidi"/>
          <w:b/>
          <w:color w:val="000000" w:themeColor="text1"/>
          <w:vertAlign w:val="superscript"/>
        </w:rPr>
        <w:t>st</w:t>
      </w:r>
      <w:r>
        <w:rPr>
          <w:rFonts w:ascii="Arial" w:hAnsi="Arial" w:cstheme="minorBidi"/>
          <w:b/>
          <w:color w:val="000000" w:themeColor="text1"/>
        </w:rPr>
        <w:t xml:space="preserve"> Attachment </w:t>
      </w:r>
      <w:r>
        <w:rPr>
          <w:rFonts w:ascii="Arial" w:hAnsi="Arial" w:cstheme="minorBidi"/>
          <w:color w:val="000000" w:themeColor="text1"/>
        </w:rPr>
        <w:t xml:space="preserve">is addressed to him.  I could not find a postal address, email or ph number for Tony Harris.  </w:t>
      </w:r>
    </w:p>
    <w:p w:rsidR="0000028A" w:rsidRDefault="0000028A" w:rsidP="0000028A">
      <w:pPr>
        <w:rPr>
          <w:rFonts w:ascii="Arial" w:hAnsi="Arial" w:cstheme="minorBidi"/>
          <w:color w:val="000000" w:themeColor="text1"/>
        </w:rPr>
      </w:pPr>
      <w:r>
        <w:rPr>
          <w:rFonts w:ascii="Arial" w:hAnsi="Arial" w:cstheme="minorBidi"/>
          <w:color w:val="000000" w:themeColor="text1"/>
        </w:rPr>
        <w:t xml:space="preserve">I have heard Tony Harris speak on ABC Radio and he does not like State Govt’s embarking on </w:t>
      </w:r>
      <w:r>
        <w:rPr>
          <w:rFonts w:ascii="Arial" w:hAnsi="Arial" w:cstheme="minorBidi"/>
          <w:i/>
          <w:color w:val="000000" w:themeColor="text1"/>
        </w:rPr>
        <w:t>‘inter alia’</w:t>
      </w:r>
      <w:r>
        <w:rPr>
          <w:rFonts w:ascii="Arial" w:hAnsi="Arial" w:cstheme="minorBidi"/>
          <w:color w:val="000000" w:themeColor="text1"/>
        </w:rPr>
        <w:t xml:space="preserve"> rail infrastructure projects without a robust Cost-Benefit Analysis that calcs a positive Net Present Value.  Happy for you to open the envelope and review the contents if you wish.</w:t>
      </w:r>
    </w:p>
    <w:p w:rsidR="0000028A" w:rsidRDefault="0000028A" w:rsidP="0000028A">
      <w:pPr>
        <w:rPr>
          <w:rFonts w:ascii="Arial" w:hAnsi="Arial" w:cstheme="minorBidi"/>
          <w:color w:val="000000" w:themeColor="text1"/>
          <w:sz w:val="16"/>
          <w:szCs w:val="16"/>
        </w:rPr>
      </w:pPr>
    </w:p>
    <w:p w:rsidR="0000028A" w:rsidRDefault="0000028A" w:rsidP="0000028A">
      <w:pPr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Annexure A</w:t>
        </w:r>
      </w:hyperlink>
      <w:r>
        <w:rPr>
          <w:rFonts w:ascii="Arial" w:hAnsi="Arial" w:cs="Arial"/>
          <w:color w:val="393939"/>
          <w:shd w:val="clear" w:color="auto" w:fill="FFFFFF"/>
        </w:rPr>
        <w:t xml:space="preserve"> provides URL threads to a welter of articles/reports of cost blowouts, construction completion delays and </w:t>
      </w:r>
      <w:r>
        <w:rPr>
          <w:rFonts w:ascii="Arial" w:hAnsi="Arial" w:cs="Arial"/>
        </w:rPr>
        <w:t xml:space="preserve">usage/patronage paucity in too many recent large infrastructure projects that have wasted many billions of dollars of the </w:t>
      </w:r>
      <w:r>
        <w:rPr>
          <w:rFonts w:ascii="Arial" w:hAnsi="Arial" w:cs="Arial"/>
          <w:i/>
          <w:iCs/>
        </w:rPr>
        <w:t>Public Purse -</w:t>
      </w:r>
      <w:r>
        <w:rPr>
          <w:rFonts w:ascii="Arial" w:hAnsi="Arial" w:cs="Arial"/>
          <w:iCs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b/>
            <w:iCs/>
          </w:rPr>
          <w:t>46% is funded by the Commonwealth</w:t>
        </w:r>
      </w:hyperlink>
      <w:r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Alas, the Commonwealth Govt, that has a legal obligation under the Australian Constitution to ensure that all revenue monies it allocates to the States is not wasted has </w:t>
      </w:r>
      <w:r>
        <w:rPr>
          <w:rFonts w:ascii="Arial" w:hAnsi="Arial" w:cs="Arial"/>
          <w:i/>
          <w:color w:val="000000" w:themeColor="text1"/>
          <w:shd w:val="clear" w:color="auto" w:fill="FFFFFF"/>
        </w:rPr>
        <w:t xml:space="preserve">sat on its hands 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in breach of </w:t>
      </w:r>
      <w:hyperlink r:id="rId11" w:history="1">
        <w:r>
          <w:rPr>
            <w:rStyle w:val="Hyperlink"/>
            <w:rFonts w:ascii="Arial" w:hAnsi="Arial" w:cs="Arial"/>
            <w:b/>
            <w:bCs/>
          </w:rPr>
          <w:t>SECT 96</w:t>
        </w:r>
      </w:hyperlink>
      <w:r>
        <w:rPr>
          <w:rFonts w:ascii="Arial" w:hAnsi="Arial" w:cs="Arial"/>
          <w:b/>
          <w:bCs/>
          <w:color w:val="000000" w:themeColor="text1"/>
        </w:rPr>
        <w:t xml:space="preserve">, </w:t>
      </w:r>
      <w:hyperlink r:id="rId12" w:history="1">
        <w:r>
          <w:rPr>
            <w:rStyle w:val="Hyperlink"/>
            <w:rFonts w:ascii="Arial" w:hAnsi="Arial" w:cs="Arial"/>
            <w:b/>
            <w:bCs/>
          </w:rPr>
          <w:t>SECT 97 Audit</w:t>
        </w:r>
      </w:hyperlink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b/>
          <w:bCs/>
          <w:color w:val="000000"/>
        </w:rPr>
        <w:t> </w:t>
      </w:r>
      <w:hyperlink r:id="rId13" w:history="1">
        <w:r>
          <w:rPr>
            <w:rStyle w:val="Hyperlink"/>
            <w:rFonts w:ascii="Arial" w:hAnsi="Arial" w:cs="Arial"/>
            <w:b/>
            <w:bCs/>
          </w:rPr>
          <w:t>SECT 98</w:t>
        </w:r>
      </w:hyperlink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of the Australian Constitution</w:t>
      </w:r>
      <w:r>
        <w:rPr>
          <w:rFonts w:ascii="Arial" w:hAnsi="Arial" w:cs="Arial"/>
          <w:b/>
          <w:bCs/>
          <w:color w:val="000000"/>
        </w:rPr>
        <w:t>.</w:t>
      </w:r>
    </w:p>
    <w:p w:rsidR="0000028A" w:rsidRDefault="0000028A" w:rsidP="0000028A">
      <w:pPr>
        <w:pStyle w:val="NormalWeb"/>
        <w:shd w:val="clear" w:color="auto" w:fill="FFFFFF"/>
        <w:spacing w:before="0" w:beforeAutospacing="0" w:after="1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33CC"/>
          <w:sz w:val="16"/>
          <w:szCs w:val="16"/>
          <w:u w:val="single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>
        <w:rPr>
          <w:rFonts w:ascii="Arial" w:hAnsi="Arial" w:cs="Arial"/>
          <w:color w:val="000000"/>
          <w:sz w:val="22"/>
          <w:szCs w:val="22"/>
        </w:rPr>
        <w:t>CD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(2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/>
          <w:sz w:val="22"/>
          <w:szCs w:val="22"/>
        </w:rPr>
        <w:t xml:space="preserve"> Attachment) will auto-open (in a Windows Operating System) my Letter to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Tony Harris </w:t>
      </w:r>
      <w:r>
        <w:rPr>
          <w:rFonts w:ascii="Arial" w:hAnsi="Arial" w:cs="Arial"/>
          <w:color w:val="000000"/>
          <w:sz w:val="22"/>
          <w:szCs w:val="22"/>
        </w:rPr>
        <w:t xml:space="preserve">dated </w:t>
      </w:r>
      <w:r>
        <w:rPr>
          <w:rFonts w:ascii="Arial" w:hAnsi="Arial" w:cs="Arial"/>
          <w:color w:val="000000" w:themeColor="text1"/>
          <w:sz w:val="22"/>
          <w:szCs w:val="22"/>
        </w:rPr>
        <w:t>29 Dec</w:t>
      </w:r>
      <w:r>
        <w:rPr>
          <w:rFonts w:ascii="Arial" w:hAnsi="Arial" w:cs="Arial"/>
          <w:color w:val="000000"/>
          <w:sz w:val="22"/>
          <w:szCs w:val="22"/>
        </w:rPr>
        <w:t xml:space="preserve"> 2021 (1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Attachment).  It informs </w:t>
      </w:r>
      <w:r>
        <w:rPr>
          <w:rFonts w:ascii="Arial" w:hAnsi="Arial" w:cs="Arial"/>
          <w:i/>
          <w:iCs/>
          <w:color w:val="000000"/>
          <w:sz w:val="22"/>
          <w:szCs w:val="22"/>
        </w:rPr>
        <w:t>inter alia</w:t>
      </w:r>
      <w:r>
        <w:rPr>
          <w:rFonts w:ascii="Arial" w:hAnsi="Arial" w:cs="Arial"/>
          <w:color w:val="000000"/>
          <w:sz w:val="22"/>
          <w:szCs w:val="22"/>
        </w:rPr>
        <w:t xml:space="preserve"> that back on 31 March 2021 the </w:t>
      </w:r>
      <w:hyperlink r:id="rId14" w:history="1">
        <w:r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</w:rPr>
          <w:t>Writer</w:t>
        </w:r>
      </w:hyperlink>
      <w:r>
        <w:rPr>
          <w:rFonts w:ascii="Arial" w:hAnsi="Arial" w:cs="Arial"/>
          <w:color w:val="393939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recommended (in CDs, USBs and A4 and two emails) that the Shadow Federal Treasurer place in the House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Despatch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Box during Question Time a 'Written Question With Notice' (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Attachment</w:t>
      </w:r>
      <w:r>
        <w:rPr>
          <w:rFonts w:ascii="Arial" w:hAnsi="Arial" w:cs="Arial"/>
          <w:color w:val="000000"/>
          <w:sz w:val="22"/>
          <w:szCs w:val="22"/>
        </w:rPr>
        <w:t>) for attention of the Federal Treasurer.  </w:t>
      </w:r>
    </w:p>
    <w:p w:rsidR="0000028A" w:rsidRDefault="0000028A" w:rsidP="0000028A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00028A" w:rsidRDefault="0000028A" w:rsidP="0000028A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</w:t>
      </w:r>
      <w:hyperlink r:id="rId15" w:history="1">
        <w:r>
          <w:rPr>
            <w:rStyle w:val="Hyperlink"/>
            <w:rFonts w:ascii="Arial" w:hAnsi="Arial" w:cs="Arial"/>
            <w:b/>
            <w:bCs/>
            <w:color w:val="0033CC"/>
          </w:rPr>
          <w:t>Conforming Cost-Benefit Analysis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must</w:t>
      </w:r>
      <w:r>
        <w:rPr>
          <w:rFonts w:ascii="Arial" w:hAnsi="Arial" w:cs="Arial"/>
          <w:color w:val="393939"/>
          <w:shd w:val="clear" w:color="auto" w:fill="FFFFFF"/>
        </w:rPr>
        <w:t xml:space="preserve"> include a </w:t>
      </w:r>
      <w:hyperlink r:id="rId16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Base Case Financial Model</w:t>
        </w:r>
      </w:hyperlink>
      <w:r>
        <w:rPr>
          <w:rFonts w:ascii="Arial" w:hAnsi="Arial" w:cs="Arial"/>
          <w:color w:val="393939"/>
          <w:shd w:val="clear" w:color="auto" w:fill="FFFFFF"/>
        </w:rPr>
        <w:t xml:space="preserve"> of at least 20 years of projected cashflows </w:t>
      </w:r>
      <w:r>
        <w:rPr>
          <w:rFonts w:ascii="Arial" w:hAnsi="Arial" w:cs="Arial"/>
        </w:rPr>
        <w:t>in a large Excel spreadsheet that calcs that –</w:t>
      </w:r>
    </w:p>
    <w:p w:rsidR="0000028A" w:rsidRDefault="0000028A" w:rsidP="000002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17" w:history="1">
        <w:r>
          <w:rPr>
            <w:rStyle w:val="Hyperlink"/>
            <w:rFonts w:ascii="Arial" w:hAnsi="Arial" w:cs="Arial"/>
            <w:b/>
            <w:bCs/>
          </w:rPr>
          <w:t>IRR</w:t>
        </w:r>
      </w:hyperlink>
      <w:r>
        <w:rPr>
          <w:rFonts w:ascii="Arial" w:hAnsi="Arial" w:cs="Arial"/>
        </w:rPr>
        <w:t xml:space="preserve"> is higher than the </w:t>
      </w:r>
      <w:hyperlink r:id="rId18" w:anchor=":~:text=" w:tooltip="Hurdle rate" w:history="1">
        <w:r>
          <w:rPr>
            <w:rStyle w:val="Hyperlink"/>
            <w:rFonts w:ascii="Arial" w:hAnsi="Arial" w:cs="Arial"/>
            <w:b/>
            <w:bCs/>
          </w:rPr>
          <w:t>hurdle rate</w:t>
        </w:r>
      </w:hyperlink>
      <w:r>
        <w:rPr>
          <w:rFonts w:ascii="Arial" w:hAnsi="Arial" w:cs="Arial"/>
        </w:rPr>
        <w:t xml:space="preserve"> (required yield); and </w:t>
      </w:r>
    </w:p>
    <w:p w:rsidR="0000028A" w:rsidRDefault="0000028A" w:rsidP="0000028A">
      <w:pPr>
        <w:pStyle w:val="ListParagraph"/>
        <w:numPr>
          <w:ilvl w:val="0"/>
          <w:numId w:val="1"/>
        </w:numPr>
        <w:rPr>
          <w:rFonts w:ascii="Arial" w:hAnsi="Arial" w:cs="Arial"/>
          <w:color w:val="393939"/>
          <w:shd w:val="clear" w:color="auto" w:fill="FFFFFF"/>
        </w:rPr>
      </w:pPr>
      <w:proofErr w:type="gramStart"/>
      <w:r>
        <w:rPr>
          <w:rFonts w:ascii="Arial" w:hAnsi="Arial" w:cs="Arial"/>
        </w:rPr>
        <w:t>ideally</w:t>
      </w:r>
      <w:proofErr w:type="gramEnd"/>
      <w:r>
        <w:rPr>
          <w:rFonts w:ascii="Arial" w:hAnsi="Arial" w:cs="Arial"/>
        </w:rPr>
        <w:t xml:space="preserve"> evidences a positive and demonstrative </w:t>
      </w:r>
      <w:hyperlink r:id="rId19" w:history="1">
        <w:r>
          <w:rPr>
            <w:rStyle w:val="Hyperlink"/>
            <w:rFonts w:ascii="Arial" w:hAnsi="Arial" w:cs="Arial"/>
            <w:b/>
            <w:bCs/>
          </w:rPr>
          <w:t>NPV</w:t>
        </w:r>
      </w:hyperlink>
      <w:r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</w:rPr>
        <w:t>that should not be negative.     </w:t>
      </w:r>
      <w:r>
        <w:rPr>
          <w:rFonts w:ascii="Arial" w:hAnsi="Arial" w:cs="Arial"/>
          <w:color w:val="393939"/>
          <w:shd w:val="clear" w:color="auto" w:fill="FFFFFF"/>
        </w:rPr>
        <w:t>.</w:t>
      </w:r>
    </w:p>
    <w:p w:rsidR="0000028A" w:rsidRDefault="0000028A" w:rsidP="0000028A">
      <w:pPr>
        <w:rPr>
          <w:rFonts w:ascii="Arial" w:hAnsi="Arial" w:cs="Arial"/>
          <w:sz w:val="16"/>
          <w:szCs w:val="16"/>
        </w:rPr>
      </w:pPr>
    </w:p>
    <w:p w:rsidR="0000028A" w:rsidRDefault="0000028A" w:rsidP="0000028A">
      <w:pPr>
        <w:rPr>
          <w:rStyle w:val="hgkelc"/>
          <w:color w:val="000000"/>
        </w:rPr>
      </w:pPr>
      <w:hyperlink r:id="rId20" w:history="1">
        <w:r>
          <w:rPr>
            <w:rStyle w:val="Hyperlink"/>
            <w:rFonts w:ascii="Arial" w:hAnsi="Arial" w:cs="Arial"/>
            <w:b/>
            <w:bCs/>
          </w:rPr>
          <w:t>SECT 96</w:t>
        </w:r>
      </w:hyperlink>
      <w:r>
        <w:rPr>
          <w:rFonts w:ascii="Arial" w:hAnsi="Arial" w:cs="Arial"/>
          <w:b/>
          <w:bCs/>
        </w:rPr>
        <w:t xml:space="preserve"> </w:t>
      </w:r>
      <w:hyperlink r:id="rId21" w:history="1">
        <w:r>
          <w:rPr>
            <w:rStyle w:val="hgkelc"/>
            <w:rFonts w:ascii="Arial" w:hAnsi="Arial" w:cs="Arial"/>
            <w:color w:val="0000FF"/>
          </w:rPr>
          <w:t>'</w:t>
        </w:r>
        <w:r>
          <w:rPr>
            <w:rStyle w:val="hgkelc"/>
            <w:rFonts w:ascii="Arial" w:hAnsi="Arial" w:cs="Arial"/>
            <w:b/>
            <w:bCs/>
            <w:color w:val="0000FF"/>
          </w:rPr>
          <w:t>Financial assistance to States</w:t>
        </w:r>
      </w:hyperlink>
      <w:r>
        <w:rPr>
          <w:rStyle w:val="hgkelc"/>
          <w:rFonts w:ascii="Arial" w:hAnsi="Arial" w:cs="Arial"/>
          <w:color w:val="000000"/>
        </w:rPr>
        <w:t>' of the Australian Constitution –</w:t>
      </w:r>
    </w:p>
    <w:p w:rsidR="0000028A" w:rsidRDefault="0000028A" w:rsidP="0000028A">
      <w:pPr>
        <w:pStyle w:val="ListParagraph"/>
        <w:numPr>
          <w:ilvl w:val="0"/>
          <w:numId w:val="2"/>
        </w:numPr>
        <w:spacing w:before="60"/>
      </w:pPr>
      <w:proofErr w:type="gramStart"/>
      <w:r>
        <w:rPr>
          <w:rStyle w:val="hgkelc"/>
          <w:rFonts w:ascii="Arial" w:hAnsi="Arial" w:cs="Arial"/>
          <w:color w:val="000000"/>
        </w:rPr>
        <w:t>allows</w:t>
      </w:r>
      <w:proofErr w:type="gramEnd"/>
      <w:r>
        <w:rPr>
          <w:rStyle w:val="hgkelc"/>
          <w:rFonts w:ascii="Arial" w:hAnsi="Arial" w:cs="Arial"/>
          <w:color w:val="000000"/>
        </w:rPr>
        <w:t xml:space="preserve"> the Commonwealth Parliament to make financial grants to the States predicated </w:t>
      </w:r>
      <w:r>
        <w:rPr>
          <w:rStyle w:val="hgkelc"/>
          <w:rFonts w:ascii="Arial" w:hAnsi="Arial" w:cs="Arial"/>
          <w:b/>
          <w:bCs/>
          <w:color w:val="000000"/>
        </w:rPr>
        <w:t>"</w:t>
      </w:r>
      <w:r>
        <w:rPr>
          <w:rFonts w:ascii="Cambria" w:hAnsi="Cambria"/>
          <w:b/>
          <w:bCs/>
          <w:color w:val="000000"/>
        </w:rPr>
        <w:t>...</w:t>
      </w:r>
      <w:r>
        <w:rPr>
          <w:rFonts w:ascii="Cambria" w:hAnsi="Cambria"/>
          <w:b/>
          <w:bCs/>
          <w:color w:val="333333"/>
          <w:shd w:val="clear" w:color="auto" w:fill="FFFFFF"/>
        </w:rPr>
        <w:t>on such terms and conditions as the Parliament thinks fit....</w:t>
      </w:r>
      <w:r>
        <w:rPr>
          <w:rFonts w:ascii="Cambria" w:hAnsi="Cambria"/>
          <w:color w:val="333333"/>
          <w:shd w:val="clear" w:color="auto" w:fill="FFFFFF"/>
        </w:rPr>
        <w:t xml:space="preserve">".   </w:t>
      </w:r>
      <w:r>
        <w:rPr>
          <w:rFonts w:ascii="Arial" w:hAnsi="Arial" w:cs="Arial"/>
          <w:color w:val="333333"/>
          <w:shd w:val="clear" w:color="auto" w:fill="FFFFFF"/>
        </w:rPr>
        <w:t>Due to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>t</w:t>
      </w:r>
      <w:r>
        <w:rPr>
          <w:rFonts w:ascii="Arial" w:hAnsi="Arial" w:cs="Arial"/>
          <w:color w:val="000000"/>
        </w:rPr>
        <w:t>he magnitude of the on-going annual tax payer wastage evident in </w:t>
      </w:r>
      <w:hyperlink r:id="rId22" w:history="1">
        <w:r>
          <w:rPr>
            <w:rStyle w:val="Hyperlink"/>
            <w:rFonts w:ascii="Arial" w:hAnsi="Arial" w:cs="Arial"/>
            <w:b/>
            <w:bCs/>
            <w:color w:val="096DD2"/>
            <w:shd w:val="clear" w:color="auto" w:fill="FFFFFF"/>
          </w:rPr>
          <w:t>Annexure A</w:t>
        </w:r>
      </w:hyperlink>
      <w:r>
        <w:rPr>
          <w:rFonts w:ascii="Arial" w:hAnsi="Arial" w:cs="Arial"/>
          <w:b/>
          <w:bCs/>
          <w:color w:val="000000"/>
          <w:shd w:val="clear" w:color="auto" w:fill="FFFFFF"/>
        </w:rPr>
        <w:t>, </w:t>
      </w:r>
      <w:hyperlink r:id="rId23" w:history="1">
        <w:r>
          <w:rPr>
            <w:rStyle w:val="Hyperlink"/>
            <w:rFonts w:ascii="Arial" w:hAnsi="Arial" w:cs="Arial"/>
            <w:b/>
            <w:bCs/>
          </w:rPr>
          <w:t>SECT 97 Audit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000000"/>
        </w:rPr>
        <w:t>behooves the Commonwealth Govt. to '</w:t>
      </w:r>
      <w:r>
        <w:rPr>
          <w:rFonts w:ascii="Arial" w:hAnsi="Arial" w:cs="Arial"/>
          <w:i/>
          <w:iCs/>
          <w:color w:val="000000"/>
        </w:rPr>
        <w:t>Centralise</w:t>
      </w:r>
      <w:r>
        <w:rPr>
          <w:rFonts w:ascii="Arial" w:hAnsi="Arial" w:cs="Arial"/>
          <w:color w:val="000000"/>
        </w:rPr>
        <w:t>' responsibility for measuring, quantifying and ranking all proposed rail infrastructure projects &gt;$20m, upon the ‘</w:t>
      </w:r>
      <w:r>
        <w:rPr>
          <w:rFonts w:ascii="Arial" w:hAnsi="Arial" w:cs="Arial"/>
          <w:i/>
          <w:iCs/>
          <w:color w:val="000000"/>
        </w:rPr>
        <w:t>efficiency experts’</w:t>
      </w:r>
      <w:r>
        <w:rPr>
          <w:rFonts w:ascii="Arial" w:hAnsi="Arial" w:cs="Arial"/>
          <w:color w:val="000000"/>
        </w:rPr>
        <w:t>, namely the Productivity Commission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. </w:t>
      </w:r>
    </w:p>
    <w:p w:rsidR="0000028A" w:rsidRDefault="0000028A" w:rsidP="0000028A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proofErr w:type="gramStart"/>
      <w:r>
        <w:rPr>
          <w:rStyle w:val="hgkelc"/>
          <w:rFonts w:ascii="Arial" w:hAnsi="Arial" w:cs="Arial"/>
          <w:color w:val="000000"/>
        </w:rPr>
        <w:t>places</w:t>
      </w:r>
      <w:proofErr w:type="gramEnd"/>
      <w:r>
        <w:rPr>
          <w:rStyle w:val="hgkelc"/>
          <w:rFonts w:ascii="Arial" w:hAnsi="Arial" w:cs="Arial"/>
          <w:color w:val="000000"/>
        </w:rPr>
        <w:t xml:space="preserve"> a legal obligation upon the Commonwealth Govt to pass specific new laws to ensure that</w:t>
      </w:r>
      <w:r>
        <w:rPr>
          <w:rFonts w:ascii="Arial" w:hAnsi="Arial" w:cs="Arial"/>
          <w:color w:val="000000"/>
        </w:rPr>
        <w:t xml:space="preserve"> </w:t>
      </w:r>
      <w:hyperlink r:id="rId24" w:history="1">
        <w:r>
          <w:rPr>
            <w:rStyle w:val="Hyperlink"/>
            <w:rFonts w:ascii="Arial" w:hAnsi="Arial" w:cs="Arial"/>
            <w:b/>
            <w:bCs/>
          </w:rPr>
          <w:t>the 46% of Australia’s six States annual revenue expenditure</w:t>
        </w:r>
      </w:hyperlink>
      <w:r>
        <w:rPr>
          <w:rFonts w:ascii="Arial" w:hAnsi="Arial" w:cs="Arial"/>
          <w:color w:val="000000"/>
        </w:rPr>
        <w:t xml:space="preserve"> funded from the Commonwealth Govt is expended cost-effectively.</w:t>
      </w:r>
    </w:p>
    <w:p w:rsidR="0000028A" w:rsidRDefault="0000028A" w:rsidP="0000028A">
      <w:pPr>
        <w:rPr>
          <w:rFonts w:ascii="Arial" w:hAnsi="Arial" w:cs="Arial"/>
          <w:color w:val="000000"/>
          <w:sz w:val="12"/>
          <w:szCs w:val="12"/>
        </w:rPr>
      </w:pPr>
    </w:p>
    <w:p w:rsidR="0000028A" w:rsidRDefault="0000028A" w:rsidP="0000028A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4472C4"/>
          <w:u w:val="single"/>
        </w:rPr>
        <w:t>B</w:t>
      </w:r>
      <w:hyperlink r:id="rId25" w:history="1">
        <w:r>
          <w:rPr>
            <w:rStyle w:val="Hyperlink"/>
            <w:rFonts w:ascii="Arial" w:hAnsi="Arial" w:cs="Arial"/>
            <w:b/>
            <w:bCs/>
            <w:color w:val="0033CC"/>
          </w:rPr>
          <w:t xml:space="preserve">elow is an extract from section 6.4 </w:t>
        </w:r>
        <w:r>
          <w:rPr>
            <w:rStyle w:val="Hyperlink"/>
            <w:rFonts w:ascii="Arial" w:hAnsi="Arial" w:cs="Arial"/>
            <w:b/>
            <w:bCs/>
            <w:color w:val="4472C4"/>
          </w:rPr>
          <w:t>C</w:t>
        </w:r>
        <w:r>
          <w:rPr>
            <w:rStyle w:val="Hyperlink"/>
            <w:rFonts w:ascii="Arial" w:hAnsi="Arial" w:cs="Arial"/>
            <w:b/>
            <w:bCs/>
            <w:color w:val="0033CC"/>
          </w:rPr>
          <w:t>onclusions of 6. </w:t>
        </w:r>
        <w:r>
          <w:rPr>
            <w:rStyle w:val="Hyperlink"/>
            <w:rFonts w:ascii="Arial" w:hAnsi="Arial" w:cs="Arial"/>
            <w:b/>
            <w:bCs/>
            <w:color w:val="4472C4"/>
          </w:rPr>
          <w:t>E</w:t>
        </w:r>
        <w:r>
          <w:rPr>
            <w:rStyle w:val="Hyperlink"/>
            <w:rFonts w:ascii="Arial" w:hAnsi="Arial" w:cs="Arial"/>
            <w:b/>
            <w:bCs/>
            <w:color w:val="0033CC"/>
          </w:rPr>
          <w:t>valuating major infrastructure projects: how robust are our processes?</w:t>
        </w:r>
      </w:hyperlink>
      <w:r>
        <w:t xml:space="preserve"> (</w:t>
      </w:r>
      <w:proofErr w:type="gramStart"/>
      <w:r>
        <w:t>page</w:t>
      </w:r>
      <w:proofErr w:type="gramEnd"/>
      <w:r>
        <w:t xml:space="preserve"> 162) </w:t>
      </w:r>
      <w:r>
        <w:rPr>
          <w:rFonts w:ascii="Arial" w:hAnsi="Arial" w:cs="Arial"/>
          <w:color w:val="000000"/>
        </w:rPr>
        <w:t xml:space="preserve">published on the Productivity Commission website in </w:t>
      </w:r>
      <w:r>
        <w:rPr>
          <w:rFonts w:ascii="Arial" w:hAnsi="Arial" w:cs="Arial"/>
          <w:color w:val="000000" w:themeColor="text1"/>
        </w:rPr>
        <w:t xml:space="preserve">Aug </w:t>
      </w:r>
      <w:r>
        <w:rPr>
          <w:rFonts w:ascii="Arial" w:hAnsi="Arial" w:cs="Arial"/>
          <w:color w:val="000000"/>
        </w:rPr>
        <w:t>2009:</w:t>
      </w:r>
    </w:p>
    <w:p w:rsidR="0000028A" w:rsidRDefault="0000028A" w:rsidP="0000028A">
      <w:pPr>
        <w:rPr>
          <w:rFonts w:ascii="Arial" w:hAnsi="Arial" w:cs="Arial"/>
          <w:b/>
          <w:bCs/>
          <w:color w:val="0033CC"/>
          <w:sz w:val="8"/>
          <w:szCs w:val="8"/>
        </w:rPr>
      </w:pPr>
    </w:p>
    <w:p w:rsidR="0000028A" w:rsidRDefault="0000028A" w:rsidP="0000028A">
      <w:pPr>
        <w:ind w:left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</w:t>
      </w:r>
      <w:r>
        <w:rPr>
          <w:b/>
          <w:bCs/>
          <w:sz w:val="24"/>
          <w:szCs w:val="24"/>
        </w:rPr>
        <w:t xml:space="preserve">We are not optimistic that changes to cost–benefit analysis processes alone can counteract these powerful trends. Nonetheless, we think three changes would have merit: </w:t>
      </w:r>
    </w:p>
    <w:p w:rsidR="0000028A" w:rsidRDefault="0000028A" w:rsidP="0000028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requirement for all cost–benefit analyses to be disclosed that would also highlight which projects had not been subjected to economic project evaluation</w:t>
      </w:r>
    </w:p>
    <w:p w:rsidR="0000028A" w:rsidRDefault="0000028A" w:rsidP="0000028A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• </w:t>
      </w:r>
      <w:proofErr w:type="gramStart"/>
      <w:r>
        <w:rPr>
          <w:sz w:val="24"/>
          <w:szCs w:val="24"/>
        </w:rPr>
        <w:t>far</w:t>
      </w:r>
      <w:proofErr w:type="gramEnd"/>
      <w:r>
        <w:rPr>
          <w:sz w:val="24"/>
          <w:szCs w:val="24"/>
        </w:rPr>
        <w:t xml:space="preserve"> greater and systematic auditing of cost–benefit analyses, both at the stage of the financing decision and post-project completion. In contrast, there is little or no such audit currently, and in many instances, cost–benefit analyses are not even updated, maintained or properly archived after the initial ‘go/no go’ decision is taken. </w:t>
      </w:r>
    </w:p>
    <w:p w:rsidR="0000028A" w:rsidRDefault="0000028A" w:rsidP="0000028A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• the establishment of </w:t>
      </w:r>
      <w:r>
        <w:rPr>
          <w:b/>
          <w:bCs/>
          <w:sz w:val="24"/>
          <w:szCs w:val="24"/>
          <w:highlight w:val="yellow"/>
        </w:rPr>
        <w:t>a centre of excellence</w:t>
      </w:r>
      <w:r>
        <w:rPr>
          <w:b/>
          <w:bCs/>
          <w:sz w:val="24"/>
          <w:szCs w:val="24"/>
        </w:rPr>
        <w:t xml:space="preserve"> or reference for cost–benefit analysis within the Australian Government, preferably in an independent entity, </w:t>
      </w:r>
      <w:r>
        <w:rPr>
          <w:b/>
          <w:bCs/>
          <w:sz w:val="24"/>
          <w:szCs w:val="24"/>
          <w:highlight w:val="yellow"/>
        </w:rPr>
        <w:t>such as the Productivity Commission</w:t>
      </w:r>
      <w:r>
        <w:rPr>
          <w:b/>
          <w:bCs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”</w:t>
      </w:r>
    </w:p>
    <w:p w:rsidR="0000028A" w:rsidRDefault="0000028A" w:rsidP="0000028A">
      <w:pPr>
        <w:rPr>
          <w:rFonts w:ascii="Arial" w:hAnsi="Arial" w:cs="Arial"/>
          <w:color w:val="393939"/>
          <w:sz w:val="12"/>
          <w:szCs w:val="12"/>
          <w:shd w:val="clear" w:color="auto" w:fill="FFFFFF"/>
        </w:rPr>
      </w:pPr>
    </w:p>
    <w:p w:rsidR="0000028A" w:rsidRDefault="0000028A" w:rsidP="0000028A">
      <w:pPr>
        <w:rPr>
          <w:rFonts w:ascii="Arial" w:hAnsi="Arial" w:cs="Arial"/>
        </w:rPr>
      </w:pPr>
      <w:r>
        <w:rPr>
          <w:rFonts w:ascii="Arial" w:hAnsi="Arial" w:cs="Arial"/>
        </w:rPr>
        <w:t>Australia’s Productivity Commission –</w:t>
      </w:r>
    </w:p>
    <w:p w:rsidR="0000028A" w:rsidRDefault="0000028A" w:rsidP="0000028A">
      <w:pPr>
        <w:pStyle w:val="ListParagraph"/>
        <w:numPr>
          <w:ilvl w:val="0"/>
          <w:numId w:val="3"/>
        </w:num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has the specialist cost-benefit appraisal expertise that Australia’s six States </w:t>
      </w:r>
      <w:r>
        <w:rPr>
          <w:rFonts w:ascii="Arial" w:hAnsi="Arial" w:cs="Arial"/>
          <w:color w:val="000000" w:themeColor="text1"/>
        </w:rPr>
        <w:t xml:space="preserve">and two Territories </w:t>
      </w:r>
      <w:r>
        <w:rPr>
          <w:rFonts w:ascii="Arial" w:hAnsi="Arial" w:cs="Arial"/>
        </w:rPr>
        <w:t>patently do not; and</w:t>
      </w:r>
    </w:p>
    <w:p w:rsidR="0000028A" w:rsidRDefault="0000028A" w:rsidP="0000028A">
      <w:pPr>
        <w:pStyle w:val="ListParagraph"/>
        <w:numPr>
          <w:ilvl w:val="0"/>
          <w:numId w:val="3"/>
        </w:numPr>
        <w:spacing w:line="300" w:lineRule="exac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</w:rPr>
        <w:t>will</w:t>
      </w:r>
      <w:proofErr w:type="gramEnd"/>
      <w:r>
        <w:rPr>
          <w:rFonts w:ascii="Arial" w:hAnsi="Arial" w:cs="Arial"/>
        </w:rPr>
        <w:t xml:space="preserve"> make objective decisions </w:t>
      </w:r>
      <w:r>
        <w:rPr>
          <w:rFonts w:ascii="Arial" w:hAnsi="Arial" w:cs="Arial"/>
          <w:i/>
          <w:iCs/>
        </w:rPr>
        <w:t>at arm’s length</w:t>
      </w:r>
      <w:r>
        <w:rPr>
          <w:rFonts w:ascii="Arial" w:hAnsi="Arial" w:cs="Arial"/>
        </w:rPr>
        <w:t>.</w:t>
      </w:r>
    </w:p>
    <w:p w:rsidR="0000028A" w:rsidRDefault="0000028A" w:rsidP="0000028A">
      <w:pPr>
        <w:rPr>
          <w:rFonts w:ascii="Arial" w:hAnsi="Arial" w:cs="Arial"/>
          <w:b/>
          <w:bCs/>
          <w:color w:val="0070C0"/>
          <w:sz w:val="12"/>
          <w:szCs w:val="12"/>
        </w:rPr>
      </w:pPr>
    </w:p>
    <w:p w:rsidR="0000028A" w:rsidRDefault="0000028A" w:rsidP="0000028A">
      <w:pPr>
        <w:rPr>
          <w:rFonts w:ascii="Arial" w:hAnsi="Arial" w:cs="Arial"/>
        </w:rPr>
      </w:pPr>
      <w:hyperlink r:id="rId26" w:history="1">
        <w:r>
          <w:rPr>
            <w:rStyle w:val="Hyperlink"/>
            <w:rFonts w:ascii="Arial" w:hAnsi="Arial" w:cs="Arial"/>
            <w:b/>
            <w:bCs/>
          </w:rPr>
          <w:t>As the Productivity Commission further invests in C-BA resources/skill/expertise (</w:t>
        </w:r>
        <w:r>
          <w:rPr>
            <w:rStyle w:val="Hyperlink"/>
            <w:rFonts w:ascii="Arial" w:hAnsi="Arial" w:cs="Arial"/>
            <w:b/>
            <w:bCs/>
            <w:color w:val="4472C4"/>
          </w:rPr>
          <w:t xml:space="preserve">employing </w:t>
        </w:r>
        <w:r>
          <w:rPr>
            <w:rStyle w:val="Hyperlink"/>
            <w:rFonts w:ascii="Arial" w:hAnsi="Arial" w:cs="Arial"/>
            <w:b/>
            <w:bCs/>
          </w:rPr>
          <w:t xml:space="preserve">additional economic analysts and civil engineers) to even better quantity its </w:t>
        </w:r>
        <w:r>
          <w:rPr>
            <w:rStyle w:val="Hyperlink"/>
            <w:rFonts w:ascii="Arial" w:hAnsi="Arial" w:cs="Arial"/>
            <w:b/>
            <w:bCs/>
            <w:i/>
            <w:iCs/>
          </w:rPr>
          <w:t>Gatekeeper</w:t>
        </w:r>
        <w:r>
          <w:rPr>
            <w:rStyle w:val="Hyperlink"/>
            <w:rFonts w:ascii="Arial" w:hAnsi="Arial" w:cs="Arial"/>
            <w:b/>
            <w:bCs/>
          </w:rPr>
          <w:t xml:space="preserve"> ‘Public Purse’ safety net role, the </w:t>
        </w:r>
        <w:r>
          <w:rPr>
            <w:rStyle w:val="Hyperlink"/>
            <w:rFonts w:ascii="Arial" w:hAnsi="Arial" w:cs="Arial"/>
            <w:b/>
            <w:bCs/>
            <w:i/>
            <w:iCs/>
          </w:rPr>
          <w:t>Gatekeeper</w:t>
        </w:r>
        <w:r>
          <w:rPr>
            <w:rStyle w:val="Hyperlink"/>
            <w:rFonts w:ascii="Arial" w:hAnsi="Arial" w:cs="Arial"/>
            <w:b/>
            <w:bCs/>
          </w:rPr>
          <w:t xml:space="preserve"> will reap additional economies of scale – not attainable by individual States</w:t>
        </w:r>
      </w:hyperlink>
      <w:r>
        <w:t xml:space="preserve">, </w:t>
      </w:r>
      <w:r>
        <w:rPr>
          <w:rFonts w:ascii="Arial" w:hAnsi="Arial" w:cs="Arial"/>
        </w:rPr>
        <w:t xml:space="preserve">too often stabbing in the dark and learning </w:t>
      </w:r>
      <w:r>
        <w:rPr>
          <w:rFonts w:ascii="Arial" w:hAnsi="Arial" w:cs="Arial"/>
          <w:color w:val="000000" w:themeColor="text1"/>
        </w:rPr>
        <w:t>from their mistakes</w:t>
      </w:r>
      <w:r>
        <w:rPr>
          <w:rFonts w:ascii="Arial" w:hAnsi="Arial" w:cs="Arial"/>
          <w:color w:val="000000"/>
        </w:rPr>
        <w:t>.</w:t>
      </w:r>
    </w:p>
    <w:p w:rsidR="0000028A" w:rsidRDefault="0000028A" w:rsidP="0000028A">
      <w:pPr>
        <w:rPr>
          <w:rFonts w:ascii="Arial" w:hAnsi="Arial" w:cs="Arial"/>
          <w:b/>
          <w:bCs/>
          <w:color w:val="0070C0"/>
          <w:sz w:val="16"/>
          <w:szCs w:val="16"/>
        </w:rPr>
      </w:pPr>
    </w:p>
    <w:p w:rsidR="0000028A" w:rsidRDefault="0000028A" w:rsidP="0000028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Consequently</w:t>
      </w:r>
      <w:r>
        <w:rPr>
          <w:color w:val="000000"/>
        </w:rPr>
        <w:t xml:space="preserve">, </w:t>
      </w:r>
      <w:hyperlink r:id="rId27" w:history="1">
        <w:r>
          <w:rPr>
            <w:rStyle w:val="Hyperlink"/>
            <w:rFonts w:ascii="Arial" w:hAnsi="Arial" w:cs="Arial"/>
            <w:b/>
            <w:bCs/>
          </w:rPr>
          <w:t>SECT 96</w:t>
        </w:r>
      </w:hyperlink>
      <w:r>
        <w:rPr>
          <w:rFonts w:ascii="Arial" w:hAnsi="Arial" w:cs="Arial"/>
          <w:b/>
          <w:bCs/>
          <w:color w:val="000000" w:themeColor="text1"/>
        </w:rPr>
        <w:t xml:space="preserve">, </w:t>
      </w:r>
      <w:hyperlink r:id="rId28" w:history="1">
        <w:r>
          <w:rPr>
            <w:rStyle w:val="Hyperlink"/>
            <w:rFonts w:ascii="Arial" w:hAnsi="Arial" w:cs="Arial"/>
            <w:b/>
            <w:bCs/>
          </w:rPr>
          <w:t>SECT 97 Audit</w:t>
        </w:r>
      </w:hyperlink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b/>
          <w:bCs/>
          <w:color w:val="000000"/>
        </w:rPr>
        <w:t> </w:t>
      </w:r>
      <w:hyperlink r:id="rId29" w:history="1">
        <w:r>
          <w:rPr>
            <w:rStyle w:val="Hyperlink"/>
            <w:rFonts w:ascii="Arial" w:hAnsi="Arial" w:cs="Arial"/>
            <w:b/>
            <w:bCs/>
          </w:rPr>
          <w:t>SECT 98</w:t>
        </w:r>
      </w:hyperlink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 xml:space="preserve">of the Australian Constitution behoove the Commonwealth </w:t>
      </w:r>
      <w:r>
        <w:rPr>
          <w:rFonts w:ascii="Arial" w:hAnsi="Arial" w:cs="Arial"/>
          <w:color w:val="000000" w:themeColor="text1"/>
        </w:rPr>
        <w:t>Parliament</w:t>
      </w:r>
      <w:r>
        <w:rPr>
          <w:rFonts w:ascii="Arial" w:hAnsi="Arial" w:cs="Arial"/>
          <w:color w:val="000000"/>
        </w:rPr>
        <w:t xml:space="preserve"> to enact legislation to stop Australia’s six States </w:t>
      </w:r>
      <w:r>
        <w:rPr>
          <w:rFonts w:ascii="Arial" w:hAnsi="Arial" w:cs="Arial"/>
          <w:color w:val="000000" w:themeColor="text1"/>
        </w:rPr>
        <w:t xml:space="preserve">and two Territories </w:t>
      </w:r>
      <w:r>
        <w:rPr>
          <w:rFonts w:ascii="Arial" w:hAnsi="Arial" w:cs="Arial"/>
          <w:color w:val="000000"/>
        </w:rPr>
        <w:t xml:space="preserve">wasting billions of </w:t>
      </w:r>
      <w:hyperlink r:id="rId30" w:history="1">
        <w:r>
          <w:rPr>
            <w:rStyle w:val="Hyperlink"/>
            <w:rFonts w:ascii="Arial" w:hAnsi="Arial" w:cs="Arial"/>
            <w:b/>
            <w:bCs/>
          </w:rPr>
          <w:t>the 46% of Australia’s six States annual revenue expenditure</w:t>
        </w:r>
      </w:hyperlink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 evidenced in </w:t>
      </w:r>
      <w:hyperlink r:id="rId31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Annexure A</w:t>
        </w:r>
      </w:hyperlink>
      <w:r>
        <w:rPr>
          <w:rFonts w:ascii="Arial" w:hAnsi="Arial" w:cs="Arial"/>
          <w:color w:val="000000"/>
        </w:rPr>
        <w:t xml:space="preserve"> of my </w:t>
      </w:r>
      <w:hyperlink r:id="rId32" w:history="1">
        <w:r>
          <w:rPr>
            <w:rStyle w:val="Hyperlink"/>
            <w:rFonts w:ascii="Arial" w:hAnsi="Arial" w:cs="Arial"/>
            <w:b/>
            <w:bCs/>
          </w:rPr>
          <w:t>Discussion Paper</w:t>
        </w:r>
      </w:hyperlink>
      <w:r>
        <w:rPr>
          <w:color w:val="000000"/>
        </w:rPr>
        <w:t>.</w:t>
      </w:r>
      <w:r>
        <w:rPr>
          <w:rFonts w:ascii="Arial" w:hAnsi="Arial" w:cs="Arial"/>
          <w:color w:val="000000"/>
        </w:rPr>
        <w:t xml:space="preserve">  </w:t>
      </w:r>
    </w:p>
    <w:p w:rsidR="0000028A" w:rsidRDefault="0000028A" w:rsidP="0000028A">
      <w:pPr>
        <w:rPr>
          <w:rFonts w:ascii="Arial" w:hAnsi="Arial" w:cs="Arial"/>
          <w:color w:val="000000"/>
          <w:sz w:val="16"/>
          <w:szCs w:val="16"/>
        </w:rPr>
      </w:pPr>
    </w:p>
    <w:p w:rsidR="0000028A" w:rsidRDefault="0000028A" w:rsidP="0000028A">
      <w:pPr>
        <w:rPr>
          <w:rFonts w:ascii="Arial" w:hAnsi="Arial" w:cs="Arial"/>
        </w:rPr>
      </w:pPr>
      <w:r>
        <w:rPr>
          <w:rFonts w:ascii="Arial" w:hAnsi="Arial" w:cs="Arial"/>
          <w:color w:val="393939"/>
          <w:shd w:val="clear" w:color="auto" w:fill="FFFFFF"/>
        </w:rPr>
        <w:t xml:space="preserve">The </w:t>
      </w:r>
      <w:hyperlink r:id="rId33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Writer</w:t>
        </w:r>
      </w:hyperlink>
      <w:r>
        <w:rPr>
          <w:rFonts w:ascii="Arial" w:hAnsi="Arial" w:cs="Arial"/>
        </w:rPr>
        <w:t xml:space="preserve"> studied at Macq Uni for 10 years part-time (whilst working at CBA bank for 37 years, the latter 19 years in Infrastructure Finance) and </w:t>
      </w:r>
      <w:r>
        <w:rPr>
          <w:rFonts w:ascii="Arial" w:hAnsi="Arial" w:cs="Arial"/>
          <w:color w:val="000000"/>
        </w:rPr>
        <w:t xml:space="preserve">attained </w:t>
      </w:r>
      <w:r>
        <w:rPr>
          <w:rFonts w:ascii="Arial" w:hAnsi="Arial" w:cs="Arial"/>
        </w:rPr>
        <w:t xml:space="preserve">two finance degrees.  </w:t>
      </w:r>
      <w:r>
        <w:rPr>
          <w:rFonts w:ascii="Arial" w:hAnsi="Arial" w:cs="Arial"/>
          <w:b/>
          <w:color w:val="000000" w:themeColor="text1"/>
        </w:rPr>
        <w:t>6</w:t>
      </w:r>
      <w:r>
        <w:rPr>
          <w:rFonts w:ascii="Arial" w:hAnsi="Arial" w:cs="Arial"/>
          <w:b/>
          <w:color w:val="000000"/>
          <w:vertAlign w:val="superscript"/>
        </w:rPr>
        <w:t>th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Attachment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is his</w:t>
      </w:r>
      <w:r>
        <w:rPr>
          <w:rFonts w:ascii="Arial" w:hAnsi="Arial" w:cs="Arial"/>
        </w:rPr>
        <w:t xml:space="preserve"> Masters of Finance Degree</w:t>
      </w:r>
      <w:r>
        <w:rPr>
          <w:rFonts w:ascii="Arial" w:hAnsi="Arial" w:cs="Arial"/>
          <w:color w:val="000000"/>
        </w:rPr>
        <w:t xml:space="preserve"> from Macquarie University</w:t>
      </w:r>
      <w:r>
        <w:rPr>
          <w:rFonts w:ascii="Arial" w:hAnsi="Arial" w:cs="Arial"/>
        </w:rPr>
        <w:t>.</w:t>
      </w:r>
    </w:p>
    <w:p w:rsidR="0000028A" w:rsidRDefault="0000028A" w:rsidP="0000028A">
      <w:pPr>
        <w:rPr>
          <w:rFonts w:ascii="Arial" w:hAnsi="Arial" w:cs="Arial"/>
          <w:color w:val="000000"/>
          <w:sz w:val="12"/>
          <w:szCs w:val="12"/>
        </w:rPr>
      </w:pPr>
    </w:p>
    <w:p w:rsidR="0000028A" w:rsidRDefault="0000028A" w:rsidP="0000028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My </w:t>
      </w:r>
      <w:hyperlink r:id="rId34" w:history="1">
        <w:r>
          <w:rPr>
            <w:rStyle w:val="Hyperlink"/>
            <w:rFonts w:ascii="Arial" w:hAnsi="Arial" w:cs="Arial"/>
            <w:b/>
            <w:bCs/>
          </w:rPr>
          <w:t>Discussion Paper</w:t>
        </w:r>
      </w:hyperlink>
      <w:r>
        <w:t xml:space="preserve"> </w:t>
      </w:r>
      <w:r>
        <w:rPr>
          <w:rFonts w:ascii="Arial" w:hAnsi="Arial" w:cs="Arial"/>
          <w:color w:val="000000"/>
        </w:rPr>
        <w:t xml:space="preserve">evidences that </w:t>
      </w:r>
      <w:r>
        <w:rPr>
          <w:rFonts w:ascii="Arial" w:hAnsi="Arial" w:cs="Arial"/>
          <w:color w:val="000000" w:themeColor="text1"/>
        </w:rPr>
        <w:t xml:space="preserve">recent </w:t>
      </w:r>
      <w:r>
        <w:rPr>
          <w:rFonts w:ascii="Arial" w:hAnsi="Arial" w:cs="Arial"/>
          <w:color w:val="000000"/>
        </w:rPr>
        <w:t>NSW Premier</w:t>
      </w:r>
      <w:r>
        <w:rPr>
          <w:rFonts w:ascii="Arial" w:hAnsi="Arial" w:cs="Arial"/>
          <w:color w:val="000000" w:themeColor="text1"/>
        </w:rPr>
        <w:t>s (Baird &amp; Berejiklian) were</w:t>
      </w:r>
      <w:r>
        <w:rPr>
          <w:rFonts w:ascii="Arial" w:hAnsi="Arial" w:cs="Arial"/>
          <w:color w:val="000000"/>
        </w:rPr>
        <w:t xml:space="preserve"> adept at building rail projects that have proven to be highly cost-ineffective.  Th</w:t>
      </w:r>
      <w:r>
        <w:rPr>
          <w:rFonts w:ascii="Arial" w:hAnsi="Arial" w:cs="Arial"/>
          <w:color w:val="000000" w:themeColor="text1"/>
        </w:rPr>
        <w:t xml:space="preserve">ose former Premiers </w:t>
      </w:r>
      <w:r>
        <w:rPr>
          <w:rFonts w:ascii="Arial" w:hAnsi="Arial" w:cs="Arial"/>
          <w:color w:val="000000"/>
        </w:rPr>
        <w:t>forgot that Sydney already had a heavy rail track between Circular Quay, Wynyard, Town Hall and Central Railway, when the</w:t>
      </w:r>
      <w:r>
        <w:rPr>
          <w:rFonts w:ascii="Arial" w:hAnsi="Arial" w:cs="Arial"/>
          <w:color w:val="000000" w:themeColor="text1"/>
        </w:rPr>
        <w:t>y</w:t>
      </w:r>
      <w:r>
        <w:rPr>
          <w:rFonts w:ascii="Arial" w:hAnsi="Arial" w:cs="Arial"/>
          <w:color w:val="000000"/>
        </w:rPr>
        <w:t xml:space="preserve"> agreed to build a parallel, juxtaposed, adjacent light rail (taking out George St) that cost $1 billion dollars and was completed 12 months late, with a lot of litigation.</w:t>
      </w:r>
    </w:p>
    <w:p w:rsidR="0000028A" w:rsidRDefault="0000028A" w:rsidP="0000028A">
      <w:pPr>
        <w:rPr>
          <w:rFonts w:ascii="Arial" w:hAnsi="Arial" w:cs="Arial"/>
          <w:color w:val="000000"/>
          <w:sz w:val="12"/>
          <w:szCs w:val="12"/>
        </w:rPr>
      </w:pPr>
    </w:p>
    <w:p w:rsidR="0000028A" w:rsidRDefault="0000028A" w:rsidP="0000028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 w:themeColor="text1"/>
        </w:rPr>
        <w:t xml:space="preserve">former </w:t>
      </w:r>
      <w:r>
        <w:rPr>
          <w:rFonts w:ascii="Arial" w:hAnsi="Arial" w:cs="Arial"/>
          <w:color w:val="000000"/>
        </w:rPr>
        <w:t xml:space="preserve">NSW Premier </w:t>
      </w:r>
      <w:r>
        <w:rPr>
          <w:rFonts w:ascii="Arial" w:hAnsi="Arial" w:cs="Arial"/>
          <w:color w:val="000000" w:themeColor="text1"/>
        </w:rPr>
        <w:t>wa</w:t>
      </w:r>
      <w:r>
        <w:rPr>
          <w:rFonts w:ascii="Arial" w:hAnsi="Arial" w:cs="Arial"/>
          <w:color w:val="000000"/>
        </w:rPr>
        <w:t xml:space="preserve">s spruiking “the possibility of an 11-kilometre tunnel between Blackheath and Mount Victoria” without an iota of an understanding as to whether the tangible </w:t>
      </w:r>
      <w:r>
        <w:rPr>
          <w:rFonts w:ascii="Arial" w:hAnsi="Arial" w:cs="Arial"/>
          <w:b/>
          <w:bCs/>
          <w:color w:val="000000"/>
        </w:rPr>
        <w:t>Benefits</w:t>
      </w:r>
      <w:r>
        <w:rPr>
          <w:rFonts w:ascii="Arial" w:hAnsi="Arial" w:cs="Arial"/>
          <w:color w:val="000000"/>
        </w:rPr>
        <w:t xml:space="preserve"> would exceed the mammoth tangible tunnel building </w:t>
      </w:r>
      <w:r>
        <w:rPr>
          <w:rFonts w:ascii="Arial" w:hAnsi="Arial" w:cs="Arial"/>
          <w:b/>
          <w:bCs/>
          <w:color w:val="000000"/>
        </w:rPr>
        <w:t>Costs</w:t>
      </w:r>
      <w:r>
        <w:rPr>
          <w:rFonts w:ascii="Arial" w:hAnsi="Arial" w:cs="Arial"/>
          <w:color w:val="000000"/>
        </w:rPr>
        <w:t>.</w:t>
      </w:r>
    </w:p>
    <w:p w:rsidR="0000028A" w:rsidRDefault="0000028A" w:rsidP="0000028A">
      <w:pPr>
        <w:spacing w:before="60" w:after="12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hyperlink r:id="rId35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NSW government reveals plan to build Australia's longest road tunnel at Blue Mountains</w:t>
        </w:r>
      </w:hyperlink>
    </w:p>
    <w:p w:rsidR="0000028A" w:rsidRDefault="0000028A" w:rsidP="0000028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I welcome speaking with anyone that wants to ensure that Australia’s six States expend their budgets a lot more effectively/efficiently by accepting the Productivity Commission’s offer in 2009 to be </w:t>
      </w:r>
      <w:r>
        <w:rPr>
          <w:b/>
          <w:bCs/>
          <w:sz w:val="24"/>
          <w:szCs w:val="24"/>
          <w:highlight w:val="yellow"/>
        </w:rPr>
        <w:t>a centre of excellence</w:t>
      </w:r>
      <w:r>
        <w:rPr>
          <w:b/>
          <w:bCs/>
          <w:sz w:val="24"/>
          <w:szCs w:val="24"/>
        </w:rPr>
        <w:t xml:space="preserve"> or reference for cost–benefit analysis within the Australian Government, preferably in an independent entity, </w:t>
      </w:r>
      <w:r>
        <w:rPr>
          <w:b/>
          <w:bCs/>
          <w:sz w:val="24"/>
          <w:szCs w:val="24"/>
          <w:highlight w:val="yellow"/>
        </w:rPr>
        <w:t>such as the Productivity Commission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00028A" w:rsidRDefault="0000028A" w:rsidP="0000028A">
      <w:pPr>
        <w:rPr>
          <w:rFonts w:ascii="Arial" w:hAnsi="Arial" w:cs="Arial"/>
          <w:color w:val="000000"/>
          <w:sz w:val="16"/>
          <w:szCs w:val="16"/>
        </w:rPr>
      </w:pPr>
    </w:p>
    <w:p w:rsidR="0000028A" w:rsidRDefault="0000028A" w:rsidP="0000028A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393939"/>
          <w:shd w:val="clear" w:color="auto" w:fill="FFFFFF"/>
        </w:rPr>
        <w:t xml:space="preserve">The </w:t>
      </w:r>
      <w:hyperlink r:id="rId36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Writer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will respond in writing to any written questions sent to him re this matter.  Hopefully, Tony Harris will read my letter to him (</w:t>
      </w:r>
      <w:r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  <w:vertAlign w:val="superscript"/>
        </w:rPr>
        <w:t>st</w:t>
      </w:r>
      <w:r>
        <w:rPr>
          <w:rFonts w:ascii="Arial" w:hAnsi="Arial" w:cs="Arial"/>
          <w:b/>
          <w:color w:val="000000"/>
        </w:rPr>
        <w:t xml:space="preserve"> Attachment</w:t>
      </w:r>
      <w:r>
        <w:rPr>
          <w:rFonts w:ascii="Arial" w:hAnsi="Arial" w:cs="Arial"/>
          <w:color w:val="000000"/>
        </w:rPr>
        <w:t xml:space="preserve"> ) on a CD or USB Stick and opens lots of the embedded threads therein because $3 billion </w:t>
      </w:r>
      <w:r>
        <w:rPr>
          <w:rFonts w:ascii="Arial" w:hAnsi="Arial" w:cs="Arial"/>
          <w:i/>
          <w:color w:val="000000"/>
        </w:rPr>
        <w:t>circa</w:t>
      </w:r>
      <w:r>
        <w:rPr>
          <w:rFonts w:ascii="Arial" w:hAnsi="Arial" w:cs="Arial"/>
          <w:color w:val="000000"/>
        </w:rPr>
        <w:t xml:space="preserve"> of the </w:t>
      </w:r>
      <w:r>
        <w:rPr>
          <w:rFonts w:ascii="Arial" w:hAnsi="Arial" w:cs="Arial"/>
          <w:i/>
          <w:color w:val="000000"/>
        </w:rPr>
        <w:t>Public Purse</w:t>
      </w:r>
      <w:r>
        <w:rPr>
          <w:rFonts w:ascii="Arial" w:hAnsi="Arial" w:cs="Arial"/>
          <w:color w:val="000000"/>
        </w:rPr>
        <w:t xml:space="preserve"> annually can be saved by the six States and two Territories having a legal obligation to submit a </w:t>
      </w:r>
      <w:hyperlink r:id="rId37" w:history="1">
        <w:r>
          <w:rPr>
            <w:rStyle w:val="Hyperlink"/>
            <w:rFonts w:ascii="Arial" w:hAnsi="Arial" w:cs="Arial"/>
            <w:b/>
            <w:bCs/>
            <w:color w:val="0033CC"/>
          </w:rPr>
          <w:t>Conforming Cost-Benefit Analysis</w:t>
        </w:r>
      </w:hyperlink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</w:rPr>
        <w:t>to the Productivity Commission (</w:t>
      </w:r>
      <w:r>
        <w:rPr>
          <w:rFonts w:ascii="Arial" w:hAnsi="Arial" w:cs="Arial"/>
          <w:color w:val="000000"/>
          <w:shd w:val="clear" w:color="auto" w:fill="FFFFFF"/>
        </w:rPr>
        <w:t xml:space="preserve">at least six months prior to forecast </w:t>
      </w:r>
      <w:hyperlink r:id="rId38" w:history="1">
        <w:r>
          <w:rPr>
            <w:rStyle w:val="Hyperlink"/>
            <w:rFonts w:ascii="Arial" w:hAnsi="Arial" w:cs="Arial"/>
            <w:b/>
            <w:shd w:val="clear" w:color="auto" w:fill="FFFFFF"/>
          </w:rPr>
          <w:t>Financial Close</w:t>
        </w:r>
      </w:hyperlink>
      <w:r>
        <w:t xml:space="preserve">) </w:t>
      </w:r>
      <w:r>
        <w:rPr>
          <w:rFonts w:ascii="Arial" w:hAnsi="Arial" w:cs="Arial"/>
          <w:color w:val="393939"/>
          <w:shd w:val="clear" w:color="auto" w:fill="FFFFFF"/>
        </w:rPr>
        <w:t xml:space="preserve">for each prospective future rail transport infrastructure project with forecast </w:t>
      </w:r>
      <w:r>
        <w:rPr>
          <w:rFonts w:ascii="Arial" w:hAnsi="Arial" w:cs="Arial"/>
          <w:i/>
          <w:iCs/>
          <w:color w:val="393939"/>
          <w:shd w:val="clear" w:color="auto" w:fill="FFFFFF"/>
        </w:rPr>
        <w:t>Capex</w:t>
      </w:r>
      <w:r>
        <w:rPr>
          <w:rFonts w:ascii="Arial" w:hAnsi="Arial" w:cs="Arial"/>
          <w:color w:val="393939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over $20m.</w:t>
      </w:r>
    </w:p>
    <w:p w:rsidR="0000028A" w:rsidRDefault="0000028A" w:rsidP="0000028A">
      <w:pPr>
        <w:rPr>
          <w:rFonts w:ascii="Arial" w:hAnsi="Arial" w:cs="Arial"/>
          <w:color w:val="000000"/>
          <w:sz w:val="10"/>
          <w:szCs w:val="10"/>
        </w:rPr>
      </w:pPr>
    </w:p>
    <w:p w:rsidR="0000028A" w:rsidRDefault="0000028A" w:rsidP="0000028A">
      <w:pPr>
        <w:rPr>
          <w:rFonts w:ascii="Arial" w:hAnsi="Arial" w:cs="Arial"/>
          <w:color w:val="000000"/>
          <w:sz w:val="20"/>
          <w:szCs w:val="20"/>
          <w:lang w:val="en-A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AU"/>
        </w:rPr>
        <w:t>Phil Johnston aka</w:t>
      </w:r>
      <w:r>
        <w:rPr>
          <w:b/>
          <w:bCs/>
          <w:color w:val="000000"/>
          <w:sz w:val="20"/>
          <w:szCs w:val="20"/>
          <w:lang w:val="en-AU"/>
        </w:rPr>
        <w:t> </w:t>
      </w:r>
      <w:hyperlink r:id="rId39" w:history="1">
        <w:r>
          <w:rPr>
            <w:rStyle w:val="Hyperlink"/>
            <w:rFonts w:ascii="Arial" w:hAnsi="Arial" w:cs="Arial"/>
            <w:b/>
            <w:bCs/>
            <w:i/>
            <w:iCs/>
            <w:color w:val="0000FF"/>
            <w:sz w:val="20"/>
            <w:szCs w:val="20"/>
            <w:lang w:val="en-AU"/>
          </w:rPr>
          <w:t>Bank Teller</w:t>
        </w:r>
      </w:hyperlink>
      <w:r>
        <w:t xml:space="preserve">  </w:t>
      </w:r>
      <w:r>
        <w:br/>
      </w:r>
      <w:r>
        <w:rPr>
          <w:rFonts w:ascii="Arial" w:hAnsi="Arial" w:cs="Arial"/>
          <w:b/>
          <w:bCs/>
          <w:color w:val="000000"/>
          <w:sz w:val="20"/>
          <w:szCs w:val="20"/>
          <w:lang w:val="en-AU"/>
        </w:rPr>
        <w:t>0434 715.861</w:t>
      </w:r>
    </w:p>
    <w:bookmarkEnd w:id="0"/>
    <w:p w:rsidR="0000028A" w:rsidRDefault="0000028A" w:rsidP="0000028A">
      <w:pPr>
        <w:rPr>
          <w:rFonts w:ascii="Arial" w:hAnsi="Arial" w:cs="Arial"/>
          <w:color w:val="000000"/>
        </w:rPr>
      </w:pPr>
    </w:p>
    <w:p w:rsidR="0067749D" w:rsidRDefault="0067749D"/>
    <w:sectPr w:rsidR="0067749D" w:rsidSect="0000028A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008" w:right="720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DF" w:rsidRDefault="001937DF" w:rsidP="0000028A">
      <w:r>
        <w:separator/>
      </w:r>
    </w:p>
  </w:endnote>
  <w:endnote w:type="continuationSeparator" w:id="0">
    <w:p w:rsidR="001937DF" w:rsidRDefault="001937DF" w:rsidP="0000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-p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8A" w:rsidRDefault="000002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8A" w:rsidRDefault="000002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8A" w:rsidRDefault="000002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DF" w:rsidRDefault="001937DF" w:rsidP="0000028A">
      <w:r>
        <w:separator/>
      </w:r>
    </w:p>
  </w:footnote>
  <w:footnote w:type="continuationSeparator" w:id="0">
    <w:p w:rsidR="001937DF" w:rsidRDefault="001937DF" w:rsidP="00000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8A" w:rsidRDefault="000002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501551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00028A" w:rsidRDefault="000002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28A" w:rsidRDefault="000002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8A" w:rsidRDefault="000002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1D57"/>
    <w:multiLevelType w:val="hybridMultilevel"/>
    <w:tmpl w:val="70D4E1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608"/>
    <w:multiLevelType w:val="hybridMultilevel"/>
    <w:tmpl w:val="650AC54A"/>
    <w:lvl w:ilvl="0" w:tplc="8EEA520E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77C8F"/>
    <w:multiLevelType w:val="hybridMultilevel"/>
    <w:tmpl w:val="B2D6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8A"/>
    <w:rsid w:val="0000028A"/>
    <w:rsid w:val="001937DF"/>
    <w:rsid w:val="006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C5724-A7E9-4B23-B113-05A3B9B5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28A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028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002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28A"/>
    <w:pPr>
      <w:ind w:left="720"/>
    </w:pPr>
  </w:style>
  <w:style w:type="character" w:customStyle="1" w:styleId="hgkelc">
    <w:name w:val="hgkelc"/>
    <w:basedOn w:val="DefaultParagraphFont"/>
    <w:rsid w:val="0000028A"/>
  </w:style>
  <w:style w:type="paragraph" w:styleId="Header">
    <w:name w:val="header"/>
    <w:basedOn w:val="Normal"/>
    <w:link w:val="HeaderChar"/>
    <w:uiPriority w:val="99"/>
    <w:unhideWhenUsed/>
    <w:rsid w:val="00000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28A"/>
    <w:rPr>
      <w:rFonts w:ascii="Calibri" w:hAnsi="Calibri" w:cs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0002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28A"/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e@adeleferguson.com.au" TargetMode="External"/><Relationship Id="rId13" Type="http://schemas.openxmlformats.org/officeDocument/2006/relationships/hyperlink" Target="https://www.aph.gov.au/About_Parliament/Senate/Powers_practice_n_procedures/Constitution/chapter4" TargetMode="External"/><Relationship Id="rId18" Type="http://schemas.openxmlformats.org/officeDocument/2006/relationships/hyperlink" Target="https://corporatefinanceinstitute.com/resources/knowledge/finance/hurdle-rate-definition/" TargetMode="External"/><Relationship Id="rId26" Type="http://schemas.openxmlformats.org/officeDocument/2006/relationships/hyperlink" Target="http://muggaccinos.com/StateGovtRailInfrastructure/ProductivityComm/Productivity_Commission_enhancements-synergies.htm" TargetMode="External"/><Relationship Id="rId39" Type="http://schemas.openxmlformats.org/officeDocument/2006/relationships/hyperlink" Target="http://www.muggaccinos.com/ChoresnCrew/Scribe/Scrib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8.austlii.edu.au/cgi-bin/viewdoc/au/legis/cth/consol_act/coaca430/s96.html" TargetMode="External"/><Relationship Id="rId34" Type="http://schemas.openxmlformats.org/officeDocument/2006/relationships/hyperlink" Target="http://muggaccinos.com/StateGovtRailInfrastructure/Discussion_Paper.htm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mailto:aferguson@protonmail.com" TargetMode="External"/><Relationship Id="rId12" Type="http://schemas.openxmlformats.org/officeDocument/2006/relationships/hyperlink" Target="https://www.aph.gov.au/About_Parliament/Senate/Powers_practice_n_procedures/Constitution/chapter4" TargetMode="External"/><Relationship Id="rId17" Type="http://schemas.openxmlformats.org/officeDocument/2006/relationships/hyperlink" Target="https://www.sciencedirect.com/topics/engineering/internal-rate-of-return" TargetMode="External"/><Relationship Id="rId25" Type="http://schemas.openxmlformats.org/officeDocument/2006/relationships/hyperlink" Target="http://muggaccinos.com/StateGovtRailInfrastructure/ProductivityComm/ProductivityCommission_08-chapter6.pdf" TargetMode="External"/><Relationship Id="rId33" Type="http://schemas.openxmlformats.org/officeDocument/2006/relationships/hyperlink" Target="http://muggaccinos.com/StateGovtRailInfrastructure/Writer/The_Writer_.htm" TargetMode="External"/><Relationship Id="rId38" Type="http://schemas.openxmlformats.org/officeDocument/2006/relationships/hyperlink" Target="https://muggaccinos.com/StateGovtRailInfrastructure/Defined_Terms/Financial_Close.ht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ggaccinos.com/StateGovtRailInfrastructure/Defined_Terms/base_case_financial_model.htm" TargetMode="External"/><Relationship Id="rId20" Type="http://schemas.openxmlformats.org/officeDocument/2006/relationships/hyperlink" Target="https://www.aph.gov.au/About_Parliament/Senate/Powers_practice_n_procedures/Constitution/chapter4" TargetMode="External"/><Relationship Id="rId29" Type="http://schemas.openxmlformats.org/officeDocument/2006/relationships/hyperlink" Target="https://www.aph.gov.au/About_Parliament/Senate/Powers_practice_n_procedures/Constitution/chapter4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h.gov.au/About_Parliament/Senate/Powers_practice_n_procedures/Constitution/chapter4" TargetMode="External"/><Relationship Id="rId24" Type="http://schemas.openxmlformats.org/officeDocument/2006/relationships/hyperlink" Target="http://muggaccinos.com/StateGovtRailInfrastructure/CommonwealthGovtFundingStates/CommonwealthGovtFundingStates_bp3_01_states.pdf" TargetMode="External"/><Relationship Id="rId32" Type="http://schemas.openxmlformats.org/officeDocument/2006/relationships/hyperlink" Target="http://muggaccinos.com/StateGovtRailInfrastructure/Discussion_Paper.htm" TargetMode="External"/><Relationship Id="rId37" Type="http://schemas.openxmlformats.org/officeDocument/2006/relationships/hyperlink" Target="http://muggaccinos.com/StateGovtRailInfrastructure/Defined_Terms/Conforming_Cost-Benefit_Analysis.htm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muggaccinos.com/StateGovtRailInfrastructure/Defined_Terms/Conforming_Cost-Benefit_Analysis.htm" TargetMode="External"/><Relationship Id="rId23" Type="http://schemas.openxmlformats.org/officeDocument/2006/relationships/hyperlink" Target="https://www.aph.gov.au/About_Parliament/Senate/Powers_practice_n_procedures/Constitution/chapter4" TargetMode="External"/><Relationship Id="rId28" Type="http://schemas.openxmlformats.org/officeDocument/2006/relationships/hyperlink" Target="https://www.aph.gov.au/About_Parliament/Senate/Powers_practice_n_procedures/Constitution/chapter4" TargetMode="External"/><Relationship Id="rId36" Type="http://schemas.openxmlformats.org/officeDocument/2006/relationships/hyperlink" Target="http://muggaccinos.com/StateGovtRailInfrastructure/Writer/The_Writer_.htm" TargetMode="External"/><Relationship Id="rId10" Type="http://schemas.openxmlformats.org/officeDocument/2006/relationships/hyperlink" Target="https://muggaccinos.com/StateGovtRailInfrastructure/CommGovtFundingStates/CommonwealthGovtFundingStates.pdf" TargetMode="External"/><Relationship Id="rId19" Type="http://schemas.openxmlformats.org/officeDocument/2006/relationships/hyperlink" Target="https://www.investopedia.com/terms/n/npv.asp" TargetMode="External"/><Relationship Id="rId31" Type="http://schemas.openxmlformats.org/officeDocument/2006/relationships/hyperlink" Target="http://muggaccinos.com/StateGovtRailInfrastructure/CBA/Annexure_A.htm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muggaccinos.com/StateGovtRailInfrastructure/CBA/Annexure_A.htm" TargetMode="External"/><Relationship Id="rId14" Type="http://schemas.openxmlformats.org/officeDocument/2006/relationships/hyperlink" Target="http://muggaccinos.com/StateGovtRailInfrastructure/Writer/The_Writer_.htm" TargetMode="External"/><Relationship Id="rId22" Type="http://schemas.openxmlformats.org/officeDocument/2006/relationships/hyperlink" Target="http://muggaccinos.com/StateGovtRailInfrastructure/CBA/Annexure_A.htm" TargetMode="External"/><Relationship Id="rId27" Type="http://schemas.openxmlformats.org/officeDocument/2006/relationships/hyperlink" Target="https://www.aph.gov.au/About_Parliament/Senate/Powers_practice_n_procedures/Constitution/chapter4" TargetMode="External"/><Relationship Id="rId30" Type="http://schemas.openxmlformats.org/officeDocument/2006/relationships/hyperlink" Target="https://muggaccinos.com/StateGovtRailInfrastructure/CommGovtFundingStates/CommonwealthGovtFundingStates.pdf" TargetMode="External"/><Relationship Id="rId35" Type="http://schemas.openxmlformats.org/officeDocument/2006/relationships/hyperlink" Target="https://www.msn.com/en-au/news/australia/nsw-government-reveals-plan-to-build-australias-longest-road-tunnel-at-blue-mountains/ar-BB1giqpl?ocid=BingNewsSearch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1</cp:revision>
  <dcterms:created xsi:type="dcterms:W3CDTF">2022-01-02T04:26:00Z</dcterms:created>
  <dcterms:modified xsi:type="dcterms:W3CDTF">2022-01-02T04:29:00Z</dcterms:modified>
</cp:coreProperties>
</file>